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3950" w14:textId="77777777" w:rsidR="0020458B" w:rsidRPr="000A7AB6" w:rsidRDefault="0020458B" w:rsidP="00491D3C">
      <w:pPr>
        <w:rPr>
          <w:szCs w:val="22"/>
        </w:rPr>
      </w:pPr>
    </w:p>
    <w:tbl>
      <w:tblPr>
        <w:tblStyle w:val="TableGrid"/>
        <w:tblW w:w="86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2"/>
        <w:gridCol w:w="6095"/>
        <w:gridCol w:w="16"/>
      </w:tblGrid>
      <w:tr w:rsidR="0020458B" w:rsidRPr="000A7AB6" w14:paraId="5EE27BB1" w14:textId="77777777" w:rsidTr="00D74BE0">
        <w:tc>
          <w:tcPr>
            <w:tcW w:w="8663" w:type="dxa"/>
            <w:gridSpan w:val="3"/>
            <w:tcBorders>
              <w:top w:val="single" w:sz="4" w:space="0" w:color="auto"/>
              <w:left w:val="single" w:sz="4" w:space="0" w:color="auto"/>
              <w:bottom w:val="single" w:sz="4" w:space="0" w:color="auto"/>
              <w:right w:val="single" w:sz="4" w:space="0" w:color="auto"/>
            </w:tcBorders>
          </w:tcPr>
          <w:p w14:paraId="739CBBED" w14:textId="77777777" w:rsidR="0020458B" w:rsidRPr="000A7AB6" w:rsidRDefault="0020458B" w:rsidP="00491D3C">
            <w:pPr>
              <w:pStyle w:val="Heading1"/>
              <w:spacing w:before="0" w:after="0"/>
              <w:rPr>
                <w:rFonts w:ascii="Arial" w:hAnsi="Arial" w:cs="Arial"/>
                <w:b/>
                <w:bCs/>
                <w:sz w:val="22"/>
                <w:szCs w:val="22"/>
              </w:rPr>
            </w:pPr>
            <w:r w:rsidRPr="000A7AB6">
              <w:rPr>
                <w:rFonts w:ascii="Arial" w:hAnsi="Arial" w:cs="Arial"/>
                <w:b/>
                <w:bCs/>
                <w:sz w:val="22"/>
                <w:szCs w:val="22"/>
              </w:rPr>
              <w:t>Section 5 Declaration – Planner’s Report</w:t>
            </w:r>
          </w:p>
        </w:tc>
      </w:tr>
      <w:tr w:rsidR="0020458B" w:rsidRPr="000A7AB6" w14:paraId="6562F517" w14:textId="77777777" w:rsidTr="00D74BE0">
        <w:trPr>
          <w:gridAfter w:val="1"/>
          <w:wAfter w:w="16" w:type="dxa"/>
        </w:trPr>
        <w:tc>
          <w:tcPr>
            <w:tcW w:w="2552" w:type="dxa"/>
            <w:tcBorders>
              <w:top w:val="single" w:sz="4" w:space="0" w:color="auto"/>
              <w:left w:val="nil"/>
              <w:bottom w:val="nil"/>
              <w:right w:val="nil"/>
            </w:tcBorders>
            <w:hideMark/>
          </w:tcPr>
          <w:p w14:paraId="31B0143C" w14:textId="77777777" w:rsidR="0020458B" w:rsidRPr="000A7AB6" w:rsidRDefault="0020458B" w:rsidP="00491D3C">
            <w:pPr>
              <w:pStyle w:val="Heading2"/>
              <w:spacing w:before="0" w:after="0"/>
              <w:rPr>
                <w:rFonts w:ascii="Arial" w:hAnsi="Arial" w:cs="Arial"/>
                <w:sz w:val="22"/>
                <w:szCs w:val="22"/>
              </w:rPr>
            </w:pPr>
            <w:r w:rsidRPr="000A7AB6">
              <w:rPr>
                <w:rFonts w:ascii="Arial" w:hAnsi="Arial" w:cs="Arial"/>
                <w:sz w:val="22"/>
                <w:szCs w:val="22"/>
              </w:rPr>
              <w:t>File Reference:</w:t>
            </w:r>
          </w:p>
        </w:tc>
        <w:tc>
          <w:tcPr>
            <w:tcW w:w="6095" w:type="dxa"/>
            <w:tcBorders>
              <w:top w:val="single" w:sz="4" w:space="0" w:color="auto"/>
              <w:left w:val="nil"/>
              <w:bottom w:val="nil"/>
              <w:right w:val="nil"/>
            </w:tcBorders>
            <w:hideMark/>
          </w:tcPr>
          <w:p w14:paraId="1ECE24B5" w14:textId="1E0EE7C4" w:rsidR="0020458B" w:rsidRPr="000A7AB6" w:rsidRDefault="00C37B94" w:rsidP="00491D3C">
            <w:r w:rsidRPr="000A7AB6">
              <w:t>R100</w:t>
            </w:r>
            <w:r w:rsidR="00F17F11">
              <w:t>7</w:t>
            </w:r>
            <w:r w:rsidRPr="000A7AB6">
              <w:t>-25</w:t>
            </w:r>
          </w:p>
        </w:tc>
      </w:tr>
      <w:tr w:rsidR="0020458B" w:rsidRPr="000A7AB6" w14:paraId="5188CD43" w14:textId="77777777" w:rsidTr="00D74BE0">
        <w:trPr>
          <w:gridAfter w:val="1"/>
          <w:wAfter w:w="16" w:type="dxa"/>
        </w:trPr>
        <w:tc>
          <w:tcPr>
            <w:tcW w:w="2552" w:type="dxa"/>
            <w:hideMark/>
          </w:tcPr>
          <w:p w14:paraId="20615C2F" w14:textId="77777777" w:rsidR="0020458B" w:rsidRPr="000A7AB6" w:rsidRDefault="0020458B" w:rsidP="00491D3C">
            <w:pPr>
              <w:pStyle w:val="Heading2"/>
              <w:spacing w:before="0" w:after="0"/>
              <w:rPr>
                <w:rFonts w:ascii="Arial" w:hAnsi="Arial" w:cs="Arial"/>
                <w:sz w:val="22"/>
                <w:szCs w:val="22"/>
              </w:rPr>
            </w:pPr>
            <w:r w:rsidRPr="000A7AB6">
              <w:rPr>
                <w:rFonts w:ascii="Arial" w:hAnsi="Arial" w:cs="Arial"/>
                <w:sz w:val="22"/>
                <w:szCs w:val="22"/>
              </w:rPr>
              <w:t>Description:</w:t>
            </w:r>
          </w:p>
        </w:tc>
        <w:tc>
          <w:tcPr>
            <w:tcW w:w="6095" w:type="dxa"/>
            <w:hideMark/>
          </w:tcPr>
          <w:p w14:paraId="521A2EF8" w14:textId="77777777" w:rsidR="0020458B" w:rsidRPr="000A7AB6" w:rsidRDefault="0020458B" w:rsidP="00491D3C">
            <w:r w:rsidRPr="000A7AB6">
              <w:t>Whether the installation of external insultation on the brick feature is or is not development and is or is not exempted development.</w:t>
            </w:r>
          </w:p>
        </w:tc>
      </w:tr>
      <w:tr w:rsidR="0020458B" w:rsidRPr="000A7AB6" w14:paraId="7F3C5104" w14:textId="77777777" w:rsidTr="00D74BE0">
        <w:trPr>
          <w:gridAfter w:val="1"/>
          <w:wAfter w:w="16" w:type="dxa"/>
        </w:trPr>
        <w:tc>
          <w:tcPr>
            <w:tcW w:w="2552" w:type="dxa"/>
            <w:hideMark/>
          </w:tcPr>
          <w:p w14:paraId="08377622" w14:textId="77777777" w:rsidR="0020458B" w:rsidRPr="000A7AB6" w:rsidRDefault="0020458B" w:rsidP="00491D3C">
            <w:pPr>
              <w:pStyle w:val="Heading2"/>
              <w:spacing w:before="0" w:after="0"/>
              <w:rPr>
                <w:rFonts w:ascii="Arial" w:hAnsi="Arial" w:cs="Arial"/>
                <w:sz w:val="22"/>
                <w:szCs w:val="22"/>
              </w:rPr>
            </w:pPr>
            <w:r w:rsidRPr="000A7AB6">
              <w:rPr>
                <w:rFonts w:ascii="Arial" w:hAnsi="Arial" w:cs="Arial"/>
                <w:sz w:val="22"/>
                <w:szCs w:val="22"/>
              </w:rPr>
              <w:t xml:space="preserve">Applicant:  </w:t>
            </w:r>
          </w:p>
        </w:tc>
        <w:tc>
          <w:tcPr>
            <w:tcW w:w="6095" w:type="dxa"/>
            <w:hideMark/>
          </w:tcPr>
          <w:p w14:paraId="06016996" w14:textId="6EA41D0F" w:rsidR="0020458B" w:rsidRPr="000A7AB6" w:rsidRDefault="00F17F11" w:rsidP="00491D3C">
            <w:r>
              <w:t>Helen Creedon</w:t>
            </w:r>
            <w:r w:rsidR="0020458B" w:rsidRPr="000A7AB6">
              <w:t xml:space="preserve">  </w:t>
            </w:r>
          </w:p>
        </w:tc>
      </w:tr>
      <w:tr w:rsidR="0020458B" w:rsidRPr="000A7AB6" w14:paraId="349FF393" w14:textId="77777777" w:rsidTr="00D74BE0">
        <w:trPr>
          <w:gridAfter w:val="1"/>
          <w:wAfter w:w="16" w:type="dxa"/>
        </w:trPr>
        <w:tc>
          <w:tcPr>
            <w:tcW w:w="2552" w:type="dxa"/>
            <w:hideMark/>
          </w:tcPr>
          <w:p w14:paraId="47FD0921" w14:textId="77777777" w:rsidR="0020458B" w:rsidRPr="000A7AB6" w:rsidRDefault="0020458B" w:rsidP="00491D3C">
            <w:pPr>
              <w:pStyle w:val="Heading2"/>
              <w:spacing w:before="0" w:after="0"/>
              <w:rPr>
                <w:rFonts w:ascii="Arial" w:hAnsi="Arial" w:cs="Arial"/>
                <w:sz w:val="22"/>
                <w:szCs w:val="22"/>
              </w:rPr>
            </w:pPr>
            <w:r w:rsidRPr="000A7AB6">
              <w:rPr>
                <w:rFonts w:ascii="Arial" w:hAnsi="Arial" w:cs="Arial"/>
                <w:sz w:val="22"/>
                <w:szCs w:val="22"/>
              </w:rPr>
              <w:t>Location:</w:t>
            </w:r>
          </w:p>
        </w:tc>
        <w:tc>
          <w:tcPr>
            <w:tcW w:w="6095" w:type="dxa"/>
            <w:hideMark/>
          </w:tcPr>
          <w:p w14:paraId="1FD4752D" w14:textId="57A2E670" w:rsidR="0020458B" w:rsidRPr="000A7AB6" w:rsidRDefault="00F17F11" w:rsidP="00491D3C">
            <w:r w:rsidRPr="00F17F11">
              <w:t xml:space="preserve">53 Castle Avenue, </w:t>
            </w:r>
            <w:proofErr w:type="spellStart"/>
            <w:r w:rsidRPr="00F17F11">
              <w:t>Muskerry</w:t>
            </w:r>
            <w:proofErr w:type="spellEnd"/>
            <w:r w:rsidRPr="00F17F11">
              <w:t xml:space="preserve"> Estate, Ballincollig. P31 E938</w:t>
            </w:r>
          </w:p>
        </w:tc>
      </w:tr>
      <w:tr w:rsidR="0020458B" w:rsidRPr="000A7AB6" w14:paraId="3FC7BB85" w14:textId="77777777" w:rsidTr="00D74BE0">
        <w:trPr>
          <w:gridAfter w:val="1"/>
          <w:wAfter w:w="16" w:type="dxa"/>
        </w:trPr>
        <w:tc>
          <w:tcPr>
            <w:tcW w:w="2552" w:type="dxa"/>
            <w:tcBorders>
              <w:top w:val="nil"/>
              <w:left w:val="nil"/>
              <w:bottom w:val="single" w:sz="4" w:space="0" w:color="auto"/>
              <w:right w:val="nil"/>
            </w:tcBorders>
            <w:hideMark/>
          </w:tcPr>
          <w:p w14:paraId="77501907" w14:textId="77777777" w:rsidR="0020458B" w:rsidRPr="000A7AB6" w:rsidRDefault="0020458B" w:rsidP="00491D3C">
            <w:pPr>
              <w:pStyle w:val="Heading2"/>
              <w:spacing w:before="0" w:after="0"/>
              <w:rPr>
                <w:rFonts w:ascii="Arial" w:hAnsi="Arial" w:cs="Arial"/>
                <w:sz w:val="22"/>
                <w:szCs w:val="22"/>
              </w:rPr>
            </w:pPr>
            <w:r w:rsidRPr="000A7AB6">
              <w:rPr>
                <w:rFonts w:ascii="Arial" w:hAnsi="Arial" w:cs="Arial"/>
                <w:sz w:val="22"/>
                <w:szCs w:val="22"/>
              </w:rPr>
              <w:t>Site inspection:</w:t>
            </w:r>
          </w:p>
        </w:tc>
        <w:tc>
          <w:tcPr>
            <w:tcW w:w="6095" w:type="dxa"/>
            <w:tcBorders>
              <w:top w:val="nil"/>
              <w:left w:val="nil"/>
              <w:bottom w:val="single" w:sz="4" w:space="0" w:color="auto"/>
              <w:right w:val="nil"/>
            </w:tcBorders>
          </w:tcPr>
          <w:p w14:paraId="7BE5F3D2" w14:textId="4CACC061" w:rsidR="0020458B" w:rsidRPr="000A7AB6" w:rsidRDefault="00AC4F6B" w:rsidP="00491D3C">
            <w:r>
              <w:t>1</w:t>
            </w:r>
            <w:r w:rsidR="00F17F11">
              <w:t>9/12</w:t>
            </w:r>
            <w:r w:rsidR="00A5133F" w:rsidRPr="000A7AB6">
              <w:t>/2025</w:t>
            </w:r>
          </w:p>
        </w:tc>
      </w:tr>
    </w:tbl>
    <w:p w14:paraId="6C71BD72" w14:textId="77777777" w:rsidR="0020458B" w:rsidRPr="000A7AB6" w:rsidRDefault="0020458B" w:rsidP="00491D3C">
      <w:pPr>
        <w:rPr>
          <w:szCs w:val="22"/>
        </w:rPr>
      </w:pPr>
    </w:p>
    <w:p w14:paraId="627DC057" w14:textId="77777777" w:rsidR="0020458B" w:rsidRPr="000A7AB6" w:rsidRDefault="0020458B" w:rsidP="00491D3C">
      <w:pPr>
        <w:rPr>
          <w:szCs w:val="22"/>
        </w:rPr>
      </w:pPr>
    </w:p>
    <w:p w14:paraId="0D48A240" w14:textId="77777777" w:rsidR="0020458B" w:rsidRPr="000A7AB6" w:rsidRDefault="0020458B" w:rsidP="00491D3C">
      <w:pPr>
        <w:pStyle w:val="Heading2"/>
        <w:spacing w:before="0" w:after="0"/>
        <w:rPr>
          <w:rFonts w:ascii="Arial" w:hAnsi="Arial" w:cs="Arial"/>
          <w:b/>
          <w:bCs/>
          <w:sz w:val="22"/>
          <w:szCs w:val="22"/>
        </w:rPr>
      </w:pPr>
      <w:r w:rsidRPr="000A7AB6">
        <w:rPr>
          <w:rFonts w:ascii="Arial" w:hAnsi="Arial" w:cs="Arial"/>
          <w:b/>
          <w:bCs/>
          <w:sz w:val="22"/>
          <w:szCs w:val="22"/>
        </w:rPr>
        <w:t>Purpose of Report</w:t>
      </w:r>
    </w:p>
    <w:p w14:paraId="36852028" w14:textId="77777777" w:rsidR="0020458B" w:rsidRPr="000A7AB6" w:rsidRDefault="0020458B" w:rsidP="00491D3C">
      <w:pPr>
        <w:rPr>
          <w:szCs w:val="22"/>
        </w:rPr>
      </w:pPr>
      <w:r w:rsidRPr="000A7AB6">
        <w:rPr>
          <w:szCs w:val="22"/>
        </w:rPr>
        <w:t>Under Section 5 of the Planning and Development Act, 2000 (as amended), if any question arises as to what, in any particular case, is or is not development and is or is not exempted development within the meaning of the Act, any person may, on payment of the prescribed fee, request in writing from the relevant planning authority a declaration on that question, and that person shall provide to the planning authority any information necessary to enable the authority to make its decision on the matter.</w:t>
      </w:r>
    </w:p>
    <w:p w14:paraId="2C2F6D22" w14:textId="77777777" w:rsidR="0020458B" w:rsidRPr="000A7AB6" w:rsidRDefault="0020458B" w:rsidP="00491D3C">
      <w:pPr>
        <w:rPr>
          <w:szCs w:val="22"/>
        </w:rPr>
      </w:pPr>
    </w:p>
    <w:p w14:paraId="327A7995" w14:textId="77777777" w:rsidR="0020458B" w:rsidRPr="000A7AB6" w:rsidRDefault="0020458B" w:rsidP="00491D3C">
      <w:pPr>
        <w:pStyle w:val="Heading2"/>
        <w:spacing w:before="0" w:after="0"/>
        <w:rPr>
          <w:rFonts w:ascii="Arial" w:hAnsi="Arial" w:cs="Arial"/>
          <w:b/>
          <w:bCs/>
          <w:sz w:val="22"/>
          <w:szCs w:val="22"/>
        </w:rPr>
      </w:pPr>
      <w:r w:rsidRPr="000A7AB6">
        <w:rPr>
          <w:rFonts w:ascii="Arial" w:hAnsi="Arial" w:cs="Arial"/>
          <w:b/>
          <w:bCs/>
          <w:sz w:val="22"/>
          <w:szCs w:val="22"/>
        </w:rPr>
        <w:t xml:space="preserve">Site Description </w:t>
      </w:r>
    </w:p>
    <w:p w14:paraId="1F9726DE" w14:textId="2BE6ED75" w:rsidR="0020458B" w:rsidRPr="000A7AB6" w:rsidRDefault="0020458B" w:rsidP="00491D3C">
      <w:pPr>
        <w:rPr>
          <w:szCs w:val="22"/>
        </w:rPr>
      </w:pPr>
      <w:r w:rsidRPr="000A7AB6">
        <w:rPr>
          <w:szCs w:val="22"/>
        </w:rPr>
        <w:t>The site was inspected on the</w:t>
      </w:r>
      <w:r w:rsidR="00A5133F" w:rsidRPr="000A7AB6">
        <w:rPr>
          <w:szCs w:val="22"/>
        </w:rPr>
        <w:t xml:space="preserve"> </w:t>
      </w:r>
      <w:r w:rsidR="00EA5492">
        <w:rPr>
          <w:szCs w:val="22"/>
        </w:rPr>
        <w:t>19/12</w:t>
      </w:r>
      <w:r w:rsidR="00A5133F" w:rsidRPr="000A7AB6">
        <w:rPr>
          <w:szCs w:val="22"/>
        </w:rPr>
        <w:t>/2025</w:t>
      </w:r>
      <w:r w:rsidRPr="000A7AB6">
        <w:rPr>
          <w:szCs w:val="22"/>
        </w:rPr>
        <w:t xml:space="preserve">. </w:t>
      </w:r>
    </w:p>
    <w:p w14:paraId="04BACF0B" w14:textId="77777777" w:rsidR="0020458B" w:rsidRPr="000A7AB6" w:rsidRDefault="0020458B" w:rsidP="00491D3C">
      <w:pPr>
        <w:rPr>
          <w:szCs w:val="22"/>
        </w:rPr>
      </w:pPr>
    </w:p>
    <w:p w14:paraId="0DA59BE9" w14:textId="7B212BB3" w:rsidR="0020458B" w:rsidRPr="0088451F" w:rsidRDefault="0020458B" w:rsidP="00491D3C">
      <w:pPr>
        <w:rPr>
          <w:szCs w:val="22"/>
        </w:rPr>
      </w:pPr>
      <w:r w:rsidRPr="000A7AB6">
        <w:rPr>
          <w:szCs w:val="22"/>
        </w:rPr>
        <w:t xml:space="preserve">The site </w:t>
      </w:r>
      <w:proofErr w:type="gramStart"/>
      <w:r w:rsidRPr="000A7AB6">
        <w:rPr>
          <w:szCs w:val="22"/>
        </w:rPr>
        <w:t>is located in</w:t>
      </w:r>
      <w:proofErr w:type="gramEnd"/>
      <w:r w:rsidRPr="000A7AB6">
        <w:rPr>
          <w:szCs w:val="22"/>
        </w:rPr>
        <w:t xml:space="preserve"> </w:t>
      </w:r>
      <w:r w:rsidR="00EA5492">
        <w:rPr>
          <w:szCs w:val="22"/>
        </w:rPr>
        <w:t>Castle Avenue</w:t>
      </w:r>
      <w:r w:rsidRPr="000A7AB6">
        <w:rPr>
          <w:szCs w:val="22"/>
        </w:rPr>
        <w:t>, an established residential estate in Ballincollig.</w:t>
      </w:r>
      <w:r w:rsidR="00164716" w:rsidRPr="000A7AB6">
        <w:rPr>
          <w:szCs w:val="22"/>
        </w:rPr>
        <w:t xml:space="preserve"> </w:t>
      </w:r>
      <w:r w:rsidR="00164716" w:rsidRPr="0088451F">
        <w:rPr>
          <w:szCs w:val="22"/>
        </w:rPr>
        <w:t xml:space="preserve">Access to the estate is from </w:t>
      </w:r>
      <w:r w:rsidR="00BB5FC2" w:rsidRPr="0088451F">
        <w:rPr>
          <w:szCs w:val="22"/>
        </w:rPr>
        <w:t>Castle</w:t>
      </w:r>
      <w:r w:rsidR="00164716" w:rsidRPr="0088451F">
        <w:rPr>
          <w:szCs w:val="22"/>
        </w:rPr>
        <w:t xml:space="preserve"> Road</w:t>
      </w:r>
      <w:r w:rsidRPr="0088451F">
        <w:rPr>
          <w:szCs w:val="22"/>
        </w:rPr>
        <w:t xml:space="preserve"> </w:t>
      </w:r>
      <w:r w:rsidR="00164716" w:rsidRPr="0088451F">
        <w:rPr>
          <w:szCs w:val="22"/>
        </w:rPr>
        <w:t xml:space="preserve">to the </w:t>
      </w:r>
      <w:r w:rsidR="00855EE1" w:rsidRPr="0088451F">
        <w:rPr>
          <w:szCs w:val="22"/>
        </w:rPr>
        <w:t>we</w:t>
      </w:r>
      <w:r w:rsidR="00164716" w:rsidRPr="0088451F">
        <w:rPr>
          <w:szCs w:val="22"/>
        </w:rPr>
        <w:t>st</w:t>
      </w:r>
      <w:r w:rsidR="00855EE1" w:rsidRPr="0088451F">
        <w:rPr>
          <w:szCs w:val="22"/>
        </w:rPr>
        <w:t xml:space="preserve"> and </w:t>
      </w:r>
      <w:r w:rsidR="00BB5FC2" w:rsidRPr="0088451F">
        <w:rPr>
          <w:szCs w:val="22"/>
        </w:rPr>
        <w:t>becomes</w:t>
      </w:r>
      <w:r w:rsidR="00855EE1" w:rsidRPr="0088451F">
        <w:rPr>
          <w:szCs w:val="22"/>
        </w:rPr>
        <w:t xml:space="preserve"> </w:t>
      </w:r>
      <w:r w:rsidR="00BB5FC2" w:rsidRPr="0088451F">
        <w:rPr>
          <w:szCs w:val="22"/>
        </w:rPr>
        <w:t xml:space="preserve">a </w:t>
      </w:r>
      <w:proofErr w:type="spellStart"/>
      <w:r w:rsidR="00BB5FC2" w:rsidRPr="0088451F">
        <w:rPr>
          <w:szCs w:val="22"/>
        </w:rPr>
        <w:t>cul</w:t>
      </w:r>
      <w:proofErr w:type="spellEnd"/>
      <w:r w:rsidR="00BB5FC2" w:rsidRPr="0088451F">
        <w:rPr>
          <w:szCs w:val="22"/>
        </w:rPr>
        <w:t xml:space="preserve"> de sac </w:t>
      </w:r>
      <w:r w:rsidR="00855EE1" w:rsidRPr="0088451F">
        <w:rPr>
          <w:szCs w:val="22"/>
        </w:rPr>
        <w:t>to the east.</w:t>
      </w:r>
    </w:p>
    <w:p w14:paraId="255AF4FD" w14:textId="77777777" w:rsidR="0020458B" w:rsidRPr="0088451F" w:rsidRDefault="0020458B" w:rsidP="00491D3C">
      <w:pPr>
        <w:rPr>
          <w:szCs w:val="22"/>
        </w:rPr>
      </w:pPr>
    </w:p>
    <w:p w14:paraId="2A1FF4C6" w14:textId="119B1DC1" w:rsidR="00855EE1" w:rsidRPr="0088451F" w:rsidRDefault="00855EE1" w:rsidP="00491D3C">
      <w:pPr>
        <w:rPr>
          <w:szCs w:val="22"/>
        </w:rPr>
      </w:pPr>
      <w:r w:rsidRPr="0088451F">
        <w:rPr>
          <w:szCs w:val="22"/>
        </w:rPr>
        <w:t xml:space="preserve">The property is a </w:t>
      </w:r>
      <w:r w:rsidR="00BC12C0" w:rsidRPr="0088451F">
        <w:rPr>
          <w:szCs w:val="22"/>
        </w:rPr>
        <w:t>semi-detached</w:t>
      </w:r>
      <w:r w:rsidRPr="0088451F">
        <w:rPr>
          <w:szCs w:val="22"/>
        </w:rPr>
        <w:t xml:space="preserve"> dwelling with an attached garage to the west</w:t>
      </w:r>
      <w:r w:rsidR="00DD2ACC" w:rsidRPr="0088451F">
        <w:rPr>
          <w:szCs w:val="22"/>
        </w:rPr>
        <w:t>/side</w:t>
      </w:r>
      <w:r w:rsidRPr="0088451F">
        <w:rPr>
          <w:szCs w:val="22"/>
        </w:rPr>
        <w:t>.</w:t>
      </w:r>
      <w:r w:rsidR="00BC12C0" w:rsidRPr="0088451F">
        <w:rPr>
          <w:szCs w:val="22"/>
        </w:rPr>
        <w:t xml:space="preserve"> The dwelling faces </w:t>
      </w:r>
      <w:r w:rsidR="00AA62EC" w:rsidRPr="0088451F">
        <w:rPr>
          <w:szCs w:val="22"/>
        </w:rPr>
        <w:t>north</w:t>
      </w:r>
      <w:r w:rsidR="00BC12C0" w:rsidRPr="0088451F">
        <w:rPr>
          <w:szCs w:val="22"/>
        </w:rPr>
        <w:t xml:space="preserve"> and </w:t>
      </w:r>
      <w:r w:rsidR="00AA62EC" w:rsidRPr="0088451F">
        <w:rPr>
          <w:szCs w:val="22"/>
        </w:rPr>
        <w:t xml:space="preserve">faces </w:t>
      </w:r>
      <w:r w:rsidR="00BC12C0" w:rsidRPr="0088451F">
        <w:rPr>
          <w:szCs w:val="22"/>
        </w:rPr>
        <w:t>a green area</w:t>
      </w:r>
      <w:r w:rsidR="00AA62EC" w:rsidRPr="0088451F">
        <w:rPr>
          <w:szCs w:val="22"/>
        </w:rPr>
        <w:t xml:space="preserve"> that forms a central circle of the estate of castle Avenue</w:t>
      </w:r>
      <w:r w:rsidR="00BC12C0" w:rsidRPr="0088451F">
        <w:rPr>
          <w:szCs w:val="22"/>
        </w:rPr>
        <w:t xml:space="preserve">. </w:t>
      </w:r>
    </w:p>
    <w:p w14:paraId="097D7100" w14:textId="77777777" w:rsidR="00BC12C0" w:rsidRPr="0088451F" w:rsidRDefault="00BC12C0" w:rsidP="00491D3C">
      <w:pPr>
        <w:rPr>
          <w:szCs w:val="22"/>
        </w:rPr>
      </w:pPr>
    </w:p>
    <w:p w14:paraId="31161C0A" w14:textId="77777777" w:rsidR="0088451F" w:rsidRPr="0088451F" w:rsidRDefault="000F259C" w:rsidP="00491D3C">
      <w:pPr>
        <w:rPr>
          <w:szCs w:val="22"/>
        </w:rPr>
      </w:pPr>
      <w:r w:rsidRPr="0088451F">
        <w:rPr>
          <w:szCs w:val="22"/>
        </w:rPr>
        <w:t>The f</w:t>
      </w:r>
      <w:r w:rsidR="00244376" w:rsidRPr="0088451F">
        <w:rPr>
          <w:szCs w:val="22"/>
        </w:rPr>
        <w:t>r</w:t>
      </w:r>
      <w:r w:rsidRPr="0088451F">
        <w:rPr>
          <w:szCs w:val="22"/>
        </w:rPr>
        <w:t xml:space="preserve">ont façade is finished in </w:t>
      </w:r>
      <w:r w:rsidR="0088451F" w:rsidRPr="0088451F">
        <w:rPr>
          <w:szCs w:val="22"/>
        </w:rPr>
        <w:t>a pale pebble dash,</w:t>
      </w:r>
      <w:r w:rsidRPr="0088451F">
        <w:rPr>
          <w:szCs w:val="22"/>
        </w:rPr>
        <w:t xml:space="preserve"> to the first floor</w:t>
      </w:r>
      <w:r w:rsidR="0088451F" w:rsidRPr="0088451F">
        <w:rPr>
          <w:szCs w:val="22"/>
        </w:rPr>
        <w:t>,</w:t>
      </w:r>
      <w:r w:rsidRPr="0088451F">
        <w:rPr>
          <w:szCs w:val="22"/>
        </w:rPr>
        <w:t xml:space="preserve"> and brown</w:t>
      </w:r>
      <w:r w:rsidR="0088451F" w:rsidRPr="0088451F">
        <w:rPr>
          <w:szCs w:val="22"/>
        </w:rPr>
        <w:t xml:space="preserve"> </w:t>
      </w:r>
      <w:r w:rsidRPr="0088451F">
        <w:rPr>
          <w:szCs w:val="22"/>
        </w:rPr>
        <w:t xml:space="preserve">and </w:t>
      </w:r>
      <w:r w:rsidR="0088451F" w:rsidRPr="0088451F">
        <w:rPr>
          <w:szCs w:val="22"/>
        </w:rPr>
        <w:t>grey</w:t>
      </w:r>
      <w:r w:rsidRPr="0088451F">
        <w:rPr>
          <w:szCs w:val="22"/>
        </w:rPr>
        <w:t xml:space="preserve"> stone cladding to the ground floor. The windows are a </w:t>
      </w:r>
      <w:r w:rsidR="0088451F" w:rsidRPr="0088451F">
        <w:rPr>
          <w:szCs w:val="22"/>
        </w:rPr>
        <w:t>white</w:t>
      </w:r>
      <w:r w:rsidRPr="0088451F">
        <w:rPr>
          <w:szCs w:val="22"/>
        </w:rPr>
        <w:t xml:space="preserve"> frame. The front elevation </w:t>
      </w:r>
      <w:r w:rsidR="0088451F" w:rsidRPr="0088451F">
        <w:rPr>
          <w:szCs w:val="22"/>
        </w:rPr>
        <w:t>on</w:t>
      </w:r>
      <w:r w:rsidRPr="0088451F">
        <w:rPr>
          <w:szCs w:val="22"/>
        </w:rPr>
        <w:t xml:space="preserve"> the adjoining neighbour</w:t>
      </w:r>
      <w:r w:rsidR="0088451F" w:rsidRPr="0088451F">
        <w:rPr>
          <w:szCs w:val="22"/>
        </w:rPr>
        <w:t>s</w:t>
      </w:r>
      <w:r w:rsidR="00DD2ACC" w:rsidRPr="0088451F">
        <w:rPr>
          <w:szCs w:val="22"/>
        </w:rPr>
        <w:t>,</w:t>
      </w:r>
      <w:r w:rsidRPr="0088451F">
        <w:rPr>
          <w:szCs w:val="22"/>
        </w:rPr>
        <w:t xml:space="preserve"> number </w:t>
      </w:r>
      <w:r w:rsidR="0088451F" w:rsidRPr="0088451F">
        <w:rPr>
          <w:szCs w:val="22"/>
        </w:rPr>
        <w:t>55 and 51</w:t>
      </w:r>
      <w:r w:rsidRPr="0088451F">
        <w:rPr>
          <w:szCs w:val="22"/>
        </w:rPr>
        <w:t xml:space="preserve">, </w:t>
      </w:r>
      <w:r w:rsidR="0088451F" w:rsidRPr="0088451F">
        <w:rPr>
          <w:szCs w:val="22"/>
        </w:rPr>
        <w:t>are</w:t>
      </w:r>
      <w:r w:rsidRPr="0088451F">
        <w:rPr>
          <w:szCs w:val="22"/>
        </w:rPr>
        <w:t xml:space="preserve"> also finished in the same material and colouring.</w:t>
      </w:r>
    </w:p>
    <w:p w14:paraId="6B0F5628" w14:textId="0652C9D8" w:rsidR="000F259C" w:rsidRPr="00850535" w:rsidRDefault="000F259C" w:rsidP="00491D3C">
      <w:pPr>
        <w:rPr>
          <w:szCs w:val="22"/>
          <w:highlight w:val="yellow"/>
        </w:rPr>
      </w:pPr>
      <w:r w:rsidRPr="00850535">
        <w:rPr>
          <w:szCs w:val="22"/>
          <w:highlight w:val="yellow"/>
        </w:rPr>
        <w:t xml:space="preserve"> </w:t>
      </w:r>
    </w:p>
    <w:p w14:paraId="74AFAFE1" w14:textId="11D6E639" w:rsidR="0020458B" w:rsidRPr="002763E7" w:rsidRDefault="0020458B" w:rsidP="00491D3C">
      <w:pPr>
        <w:rPr>
          <w:szCs w:val="22"/>
        </w:rPr>
      </w:pPr>
      <w:r w:rsidRPr="002763E7">
        <w:rPr>
          <w:szCs w:val="22"/>
        </w:rPr>
        <w:t xml:space="preserve">It is considered that the houses </w:t>
      </w:r>
      <w:r w:rsidR="0088451F" w:rsidRPr="002763E7">
        <w:rPr>
          <w:szCs w:val="22"/>
        </w:rPr>
        <w:t>on the row of immediate dwellings</w:t>
      </w:r>
      <w:r w:rsidRPr="002763E7">
        <w:rPr>
          <w:szCs w:val="22"/>
        </w:rPr>
        <w:t xml:space="preserve"> </w:t>
      </w:r>
      <w:r w:rsidR="002A6699" w:rsidRPr="002763E7">
        <w:rPr>
          <w:szCs w:val="22"/>
        </w:rPr>
        <w:t>are</w:t>
      </w:r>
      <w:r w:rsidRPr="002763E7">
        <w:rPr>
          <w:szCs w:val="22"/>
        </w:rPr>
        <w:t xml:space="preserve"> of similar design and finishes</w:t>
      </w:r>
      <w:r w:rsidR="002763E7" w:rsidRPr="002763E7">
        <w:rPr>
          <w:szCs w:val="22"/>
        </w:rPr>
        <w:t>,</w:t>
      </w:r>
      <w:r w:rsidR="002A6699" w:rsidRPr="002763E7">
        <w:rPr>
          <w:szCs w:val="22"/>
        </w:rPr>
        <w:t xml:space="preserve"> but there are features that are varying</w:t>
      </w:r>
      <w:r w:rsidR="002763E7" w:rsidRPr="002763E7">
        <w:rPr>
          <w:szCs w:val="22"/>
        </w:rPr>
        <w:t xml:space="preserve"> in the wider estate on the front elevation as per the images provided by the applicant</w:t>
      </w:r>
      <w:r w:rsidRPr="002763E7">
        <w:rPr>
          <w:szCs w:val="22"/>
        </w:rPr>
        <w:t>.</w:t>
      </w:r>
      <w:r w:rsidR="002A6699" w:rsidRPr="002763E7">
        <w:rPr>
          <w:szCs w:val="22"/>
        </w:rPr>
        <w:t xml:space="preserve"> </w:t>
      </w:r>
    </w:p>
    <w:p w14:paraId="0C131B9B" w14:textId="77777777" w:rsidR="0020458B" w:rsidRPr="002763E7" w:rsidRDefault="0020458B" w:rsidP="00491D3C">
      <w:pPr>
        <w:rPr>
          <w:szCs w:val="22"/>
        </w:rPr>
      </w:pPr>
    </w:p>
    <w:p w14:paraId="60AEC5A0" w14:textId="53893981" w:rsidR="00965F53" w:rsidRPr="000A7AB6" w:rsidRDefault="0020458B" w:rsidP="00491D3C">
      <w:pPr>
        <w:rPr>
          <w:szCs w:val="22"/>
        </w:rPr>
      </w:pPr>
      <w:r w:rsidRPr="002763E7">
        <w:rPr>
          <w:szCs w:val="22"/>
        </w:rPr>
        <w:t xml:space="preserve">There are no built heritage designations applicable to the house </w:t>
      </w:r>
      <w:r w:rsidR="00965F53" w:rsidRPr="002763E7">
        <w:rPr>
          <w:szCs w:val="22"/>
        </w:rPr>
        <w:t>or</w:t>
      </w:r>
      <w:r w:rsidRPr="002763E7">
        <w:rPr>
          <w:szCs w:val="22"/>
        </w:rPr>
        <w:t xml:space="preserve"> immediate area</w:t>
      </w:r>
      <w:r w:rsidR="00965F53" w:rsidRPr="002763E7">
        <w:rPr>
          <w:szCs w:val="22"/>
        </w:rPr>
        <w:t xml:space="preserve"> and the site falls within Zoning Objective 01 - Sustainable Residential Neighbourhoods, and within Landscape Character Type </w:t>
      </w:r>
      <w:r w:rsidR="00E16EB3" w:rsidRPr="002763E7">
        <w:rPr>
          <w:szCs w:val="22"/>
        </w:rPr>
        <w:t>–</w:t>
      </w:r>
      <w:r w:rsidR="00965F53" w:rsidRPr="002763E7">
        <w:rPr>
          <w:szCs w:val="22"/>
        </w:rPr>
        <w:t xml:space="preserve"> </w:t>
      </w:r>
      <w:r w:rsidR="00E16EB3" w:rsidRPr="002763E7">
        <w:rPr>
          <w:szCs w:val="22"/>
        </w:rPr>
        <w:t>Broad Fertile Lowland Valleys</w:t>
      </w:r>
      <w:r w:rsidR="00965F53" w:rsidRPr="002763E7">
        <w:rPr>
          <w:szCs w:val="22"/>
        </w:rPr>
        <w:t xml:space="preserve"> by means of the Cork City Development Plan 2022-2028.</w:t>
      </w:r>
    </w:p>
    <w:p w14:paraId="07A5B913" w14:textId="2BE066C4" w:rsidR="0020458B" w:rsidRPr="000A7AB6" w:rsidRDefault="0020458B" w:rsidP="00491D3C">
      <w:pPr>
        <w:rPr>
          <w:szCs w:val="22"/>
        </w:rPr>
      </w:pPr>
    </w:p>
    <w:p w14:paraId="7BB9C0A0" w14:textId="77777777" w:rsidR="0020458B" w:rsidRPr="000A7AB6" w:rsidRDefault="0020458B" w:rsidP="00491D3C">
      <w:pPr>
        <w:pStyle w:val="Heading2"/>
        <w:spacing w:before="0" w:after="0"/>
        <w:rPr>
          <w:rFonts w:ascii="Arial" w:hAnsi="Arial" w:cs="Arial"/>
          <w:b/>
          <w:bCs/>
          <w:sz w:val="22"/>
          <w:szCs w:val="22"/>
        </w:rPr>
      </w:pPr>
      <w:r w:rsidRPr="000A7AB6">
        <w:rPr>
          <w:rFonts w:ascii="Arial" w:hAnsi="Arial" w:cs="Arial"/>
          <w:b/>
          <w:bCs/>
          <w:sz w:val="22"/>
          <w:szCs w:val="22"/>
        </w:rPr>
        <w:t xml:space="preserve">Planning History </w:t>
      </w:r>
    </w:p>
    <w:p w14:paraId="201FB935" w14:textId="77777777" w:rsidR="0020458B" w:rsidRPr="000A7AB6" w:rsidRDefault="0020458B" w:rsidP="00491D3C">
      <w:pPr>
        <w:pStyle w:val="Heading3"/>
        <w:spacing w:before="0" w:after="0"/>
        <w:rPr>
          <w:rFonts w:cs="Arial"/>
          <w:sz w:val="22"/>
          <w:szCs w:val="22"/>
        </w:rPr>
      </w:pPr>
      <w:r w:rsidRPr="000A7AB6">
        <w:rPr>
          <w:rFonts w:cs="Arial"/>
          <w:sz w:val="22"/>
          <w:szCs w:val="22"/>
        </w:rPr>
        <w:t xml:space="preserve">Application site: </w:t>
      </w:r>
    </w:p>
    <w:p w14:paraId="7C10DC20" w14:textId="10BDAC35" w:rsidR="0020458B" w:rsidRPr="000A7AB6" w:rsidRDefault="0020458B" w:rsidP="00491D3C">
      <w:pPr>
        <w:rPr>
          <w:szCs w:val="22"/>
        </w:rPr>
      </w:pPr>
      <w:r w:rsidRPr="000A7AB6">
        <w:rPr>
          <w:szCs w:val="22"/>
        </w:rPr>
        <w:t xml:space="preserve">No recent </w:t>
      </w:r>
      <w:r w:rsidR="0089508F" w:rsidRPr="000A7AB6">
        <w:rPr>
          <w:szCs w:val="22"/>
        </w:rPr>
        <w:t>planning history on site.</w:t>
      </w:r>
    </w:p>
    <w:p w14:paraId="2DD9A878" w14:textId="77777777" w:rsidR="0020458B" w:rsidRPr="000A7AB6" w:rsidRDefault="0020458B" w:rsidP="00491D3C">
      <w:pPr>
        <w:rPr>
          <w:szCs w:val="22"/>
        </w:rPr>
      </w:pPr>
    </w:p>
    <w:p w14:paraId="1220CC5A" w14:textId="77777777" w:rsidR="0020458B" w:rsidRPr="000A7AB6" w:rsidRDefault="0020458B" w:rsidP="00491D3C">
      <w:pPr>
        <w:pStyle w:val="Heading3"/>
        <w:spacing w:before="0" w:after="0"/>
        <w:rPr>
          <w:rFonts w:cs="Arial"/>
          <w:sz w:val="22"/>
          <w:szCs w:val="22"/>
        </w:rPr>
      </w:pPr>
      <w:r w:rsidRPr="000A7AB6">
        <w:rPr>
          <w:rFonts w:cs="Arial"/>
          <w:sz w:val="22"/>
          <w:szCs w:val="22"/>
        </w:rPr>
        <w:t>Nearby sites:</w:t>
      </w:r>
    </w:p>
    <w:p w14:paraId="0F4C5A7C" w14:textId="75A5A1FA" w:rsidR="0020458B" w:rsidRPr="000A7AB6" w:rsidRDefault="00835B7E" w:rsidP="00491D3C">
      <w:pPr>
        <w:rPr>
          <w:szCs w:val="22"/>
        </w:rPr>
      </w:pPr>
      <w:r w:rsidRPr="00835B7E">
        <w:rPr>
          <w:szCs w:val="22"/>
        </w:rPr>
        <w:t>088625</w:t>
      </w:r>
      <w:r w:rsidR="0020458B" w:rsidRPr="000A7AB6">
        <w:rPr>
          <w:szCs w:val="22"/>
        </w:rPr>
        <w:t xml:space="preserve"> – </w:t>
      </w:r>
      <w:r w:rsidRPr="00835B7E">
        <w:rPr>
          <w:szCs w:val="22"/>
        </w:rPr>
        <w:t>55 Castle Avenue</w:t>
      </w:r>
    </w:p>
    <w:p w14:paraId="7AEFFB86" w14:textId="77777777" w:rsidR="00835B7E" w:rsidRDefault="00835B7E" w:rsidP="00491D3C">
      <w:pPr>
        <w:rPr>
          <w:szCs w:val="22"/>
        </w:rPr>
      </w:pPr>
      <w:r w:rsidRPr="00835B7E">
        <w:rPr>
          <w:szCs w:val="22"/>
        </w:rPr>
        <w:t>Retention of conversion of attic to living area and installation of rooflights to dwellinghouse</w:t>
      </w:r>
      <w:r>
        <w:rPr>
          <w:szCs w:val="22"/>
        </w:rPr>
        <w:t>.</w:t>
      </w:r>
    </w:p>
    <w:p w14:paraId="2455D88A" w14:textId="0F70F191" w:rsidR="0020458B" w:rsidRPr="000A7AB6" w:rsidRDefault="0020458B" w:rsidP="00491D3C">
      <w:pPr>
        <w:rPr>
          <w:szCs w:val="22"/>
        </w:rPr>
      </w:pPr>
      <w:r w:rsidRPr="000A7AB6">
        <w:rPr>
          <w:szCs w:val="22"/>
        </w:rPr>
        <w:t xml:space="preserve">Grant conditional </w:t>
      </w:r>
    </w:p>
    <w:p w14:paraId="0C60EF31" w14:textId="77777777" w:rsidR="0020458B" w:rsidRPr="000A7AB6" w:rsidRDefault="0020458B" w:rsidP="00491D3C">
      <w:pPr>
        <w:rPr>
          <w:szCs w:val="22"/>
        </w:rPr>
      </w:pPr>
    </w:p>
    <w:p w14:paraId="7DC4E218" w14:textId="57ADA9CF" w:rsidR="0020458B" w:rsidRPr="000A7AB6" w:rsidRDefault="00835B7E" w:rsidP="00491D3C">
      <w:pPr>
        <w:rPr>
          <w:szCs w:val="22"/>
        </w:rPr>
      </w:pPr>
      <w:r w:rsidRPr="00835B7E">
        <w:rPr>
          <w:szCs w:val="22"/>
        </w:rPr>
        <w:t>135675</w:t>
      </w:r>
      <w:r w:rsidR="0020458B" w:rsidRPr="000A7AB6">
        <w:rPr>
          <w:szCs w:val="22"/>
        </w:rPr>
        <w:t xml:space="preserve"> – </w:t>
      </w:r>
      <w:r w:rsidRPr="00835B7E">
        <w:rPr>
          <w:szCs w:val="22"/>
        </w:rPr>
        <w:t>61 Castle Avenue</w:t>
      </w:r>
    </w:p>
    <w:p w14:paraId="439E6C0E" w14:textId="170CF53B" w:rsidR="0089508F" w:rsidRPr="000A7AB6" w:rsidRDefault="00835B7E" w:rsidP="00491D3C">
      <w:pPr>
        <w:rPr>
          <w:szCs w:val="22"/>
        </w:rPr>
      </w:pPr>
      <w:r w:rsidRPr="00835B7E">
        <w:rPr>
          <w:szCs w:val="22"/>
        </w:rPr>
        <w:t>Retention of single storey extension to side of existing two-storey dwelling together with alterations to existing dwelling and associated site works</w:t>
      </w:r>
      <w:r w:rsidR="0089508F" w:rsidRPr="000A7AB6">
        <w:rPr>
          <w:szCs w:val="22"/>
        </w:rPr>
        <w:t xml:space="preserve">. </w:t>
      </w:r>
    </w:p>
    <w:p w14:paraId="1F81961F" w14:textId="09C41D23" w:rsidR="0020458B" w:rsidRPr="000A7AB6" w:rsidRDefault="0020458B" w:rsidP="00491D3C">
      <w:pPr>
        <w:rPr>
          <w:szCs w:val="22"/>
        </w:rPr>
      </w:pPr>
      <w:r w:rsidRPr="000A7AB6">
        <w:rPr>
          <w:szCs w:val="22"/>
        </w:rPr>
        <w:t xml:space="preserve">Grant conditional </w:t>
      </w:r>
    </w:p>
    <w:p w14:paraId="4968E533" w14:textId="77777777" w:rsidR="0020458B" w:rsidRPr="000A7AB6" w:rsidRDefault="0020458B" w:rsidP="00491D3C">
      <w:pPr>
        <w:rPr>
          <w:szCs w:val="22"/>
        </w:rPr>
      </w:pPr>
    </w:p>
    <w:p w14:paraId="582DA95F" w14:textId="731651AA" w:rsidR="0020458B" w:rsidRPr="000A7AB6" w:rsidRDefault="00835B7E" w:rsidP="00491D3C">
      <w:pPr>
        <w:rPr>
          <w:szCs w:val="22"/>
        </w:rPr>
      </w:pPr>
      <w:r w:rsidRPr="00835B7E">
        <w:rPr>
          <w:szCs w:val="22"/>
        </w:rPr>
        <w:lastRenderedPageBreak/>
        <w:t>052875</w:t>
      </w:r>
      <w:r w:rsidR="0089508F" w:rsidRPr="000A7AB6">
        <w:rPr>
          <w:szCs w:val="22"/>
        </w:rPr>
        <w:t xml:space="preserve"> </w:t>
      </w:r>
      <w:r w:rsidR="0020458B" w:rsidRPr="000A7AB6">
        <w:rPr>
          <w:szCs w:val="22"/>
        </w:rPr>
        <w:t xml:space="preserve">– </w:t>
      </w:r>
      <w:r w:rsidRPr="00835B7E">
        <w:rPr>
          <w:szCs w:val="22"/>
        </w:rPr>
        <w:t>45 Castle Avenue</w:t>
      </w:r>
    </w:p>
    <w:p w14:paraId="034C8C6E" w14:textId="276D55F2" w:rsidR="0020458B" w:rsidRPr="000A7AB6" w:rsidRDefault="00835B7E" w:rsidP="00491D3C">
      <w:pPr>
        <w:rPr>
          <w:szCs w:val="22"/>
        </w:rPr>
      </w:pPr>
      <w:r w:rsidRPr="00835B7E">
        <w:rPr>
          <w:szCs w:val="22"/>
        </w:rPr>
        <w:t>Extension to dwellinghouse</w:t>
      </w:r>
      <w:r w:rsidR="0089508F" w:rsidRPr="000A7AB6">
        <w:rPr>
          <w:szCs w:val="22"/>
        </w:rPr>
        <w:t>.</w:t>
      </w:r>
    </w:p>
    <w:p w14:paraId="58A47463" w14:textId="2197F93F" w:rsidR="0089508F" w:rsidRPr="000A7AB6" w:rsidRDefault="0089508F" w:rsidP="00491D3C">
      <w:pPr>
        <w:rPr>
          <w:szCs w:val="22"/>
        </w:rPr>
      </w:pPr>
      <w:r w:rsidRPr="000A7AB6">
        <w:rPr>
          <w:szCs w:val="22"/>
        </w:rPr>
        <w:t xml:space="preserve">Grant conditional </w:t>
      </w:r>
    </w:p>
    <w:p w14:paraId="2576F918" w14:textId="77777777" w:rsidR="0089508F" w:rsidRPr="000A7AB6" w:rsidRDefault="0089508F" w:rsidP="00491D3C">
      <w:pPr>
        <w:rPr>
          <w:szCs w:val="22"/>
        </w:rPr>
      </w:pPr>
    </w:p>
    <w:p w14:paraId="7ADE4491" w14:textId="77777777" w:rsidR="0020458B" w:rsidRPr="000A7AB6" w:rsidRDefault="0020458B" w:rsidP="00491D3C">
      <w:pPr>
        <w:pStyle w:val="Heading2"/>
        <w:spacing w:before="0" w:after="0"/>
        <w:rPr>
          <w:rFonts w:ascii="Arial" w:hAnsi="Arial" w:cs="Arial"/>
          <w:b/>
          <w:bCs/>
          <w:sz w:val="22"/>
          <w:szCs w:val="22"/>
        </w:rPr>
      </w:pPr>
      <w:r w:rsidRPr="000A7AB6">
        <w:rPr>
          <w:rFonts w:ascii="Arial" w:hAnsi="Arial" w:cs="Arial"/>
          <w:b/>
          <w:bCs/>
          <w:sz w:val="22"/>
          <w:szCs w:val="22"/>
        </w:rPr>
        <w:t>Legislative provisions</w:t>
      </w:r>
    </w:p>
    <w:p w14:paraId="3BF95C12" w14:textId="77777777" w:rsidR="0020458B" w:rsidRPr="000A7AB6" w:rsidRDefault="0020458B" w:rsidP="00491D3C">
      <w:pPr>
        <w:pStyle w:val="Heading3"/>
        <w:spacing w:before="0" w:after="0"/>
        <w:rPr>
          <w:rFonts w:cs="Arial"/>
          <w:sz w:val="22"/>
          <w:szCs w:val="22"/>
        </w:rPr>
      </w:pPr>
      <w:r w:rsidRPr="000A7AB6">
        <w:rPr>
          <w:rFonts w:cs="Arial"/>
          <w:sz w:val="22"/>
          <w:szCs w:val="22"/>
        </w:rPr>
        <w:t>The Planning and Development Act</w:t>
      </w:r>
    </w:p>
    <w:p w14:paraId="135DE5FB" w14:textId="77777777" w:rsidR="0020458B" w:rsidRPr="000A7AB6" w:rsidRDefault="0020458B" w:rsidP="00491D3C">
      <w:pPr>
        <w:rPr>
          <w:szCs w:val="22"/>
        </w:rPr>
      </w:pPr>
      <w:r w:rsidRPr="000A7AB6">
        <w:rPr>
          <w:szCs w:val="22"/>
        </w:rPr>
        <w:t>Section 2(1),</w:t>
      </w:r>
    </w:p>
    <w:p w14:paraId="144C8B1A" w14:textId="77777777" w:rsidR="0020458B" w:rsidRPr="000A7AB6" w:rsidRDefault="0020458B" w:rsidP="00491D3C">
      <w:pPr>
        <w:rPr>
          <w:szCs w:val="22"/>
        </w:rPr>
      </w:pPr>
      <w:r w:rsidRPr="000A7AB6">
        <w:rPr>
          <w:szCs w:val="22"/>
        </w:rPr>
        <w:t>“works” includes any act or operation of construction, excavation, demolition, extension, alteration, repair or renewal and, in relation to a protected structure or proposed protected structure, includes any act or operation involving the application or removal of plaster, paint, wallpaper, tiles or other material to or from the surfaces of the interior or exterior of a structure.</w:t>
      </w:r>
    </w:p>
    <w:p w14:paraId="578131C5" w14:textId="77777777" w:rsidR="0020458B" w:rsidRPr="000A7AB6" w:rsidRDefault="0020458B" w:rsidP="00491D3C">
      <w:pPr>
        <w:rPr>
          <w:szCs w:val="22"/>
        </w:rPr>
      </w:pPr>
    </w:p>
    <w:p w14:paraId="125F3DCB" w14:textId="77777777" w:rsidR="0020458B" w:rsidRPr="000A7AB6" w:rsidRDefault="0020458B" w:rsidP="00491D3C">
      <w:pPr>
        <w:rPr>
          <w:szCs w:val="22"/>
        </w:rPr>
      </w:pPr>
      <w:r w:rsidRPr="000A7AB6">
        <w:rPr>
          <w:szCs w:val="22"/>
        </w:rPr>
        <w:t>Section 3(1),</w:t>
      </w:r>
    </w:p>
    <w:p w14:paraId="27092A3E" w14:textId="77777777" w:rsidR="004D3215" w:rsidRPr="000A7AB6" w:rsidRDefault="004D3215" w:rsidP="00491D3C">
      <w:pPr>
        <w:pStyle w:val="xmsonormal"/>
        <w:shd w:val="clear" w:color="auto" w:fill="FFFFFF"/>
        <w:spacing w:before="0" w:beforeAutospacing="0" w:after="0" w:afterAutospacing="0"/>
        <w:jc w:val="both"/>
        <w:rPr>
          <w:rFonts w:ascii="Arial" w:hAnsi="Arial" w:cs="Arial"/>
          <w:color w:val="242424"/>
          <w:sz w:val="22"/>
          <w:szCs w:val="22"/>
        </w:rPr>
      </w:pPr>
      <w:r w:rsidRPr="000A7AB6">
        <w:rPr>
          <w:rFonts w:ascii="Arial" w:hAnsi="Arial" w:cs="Arial"/>
          <w:i/>
          <w:iCs/>
          <w:color w:val="242424"/>
          <w:sz w:val="22"/>
          <w:szCs w:val="22"/>
          <w:bdr w:val="none" w:sz="0" w:space="0" w:color="auto" w:frame="1"/>
          <w:lang w:val="en-US"/>
        </w:rPr>
        <w:t>In this Act, except where the context otherwise requires, "development" means—</w:t>
      </w:r>
    </w:p>
    <w:p w14:paraId="25A657E7" w14:textId="77777777" w:rsidR="004D3215" w:rsidRPr="000A7AB6" w:rsidRDefault="004D3215" w:rsidP="00491D3C">
      <w:pPr>
        <w:pStyle w:val="xmsonormal"/>
        <w:shd w:val="clear" w:color="auto" w:fill="FFFFFF"/>
        <w:spacing w:before="0" w:beforeAutospacing="0" w:after="0" w:afterAutospacing="0"/>
        <w:ind w:left="360"/>
        <w:jc w:val="both"/>
        <w:rPr>
          <w:rFonts w:ascii="Arial" w:hAnsi="Arial" w:cs="Arial"/>
          <w:color w:val="242424"/>
          <w:sz w:val="22"/>
          <w:szCs w:val="22"/>
        </w:rPr>
      </w:pPr>
      <w:r w:rsidRPr="000A7AB6">
        <w:rPr>
          <w:rFonts w:ascii="Arial" w:hAnsi="Arial" w:cs="Arial"/>
          <w:i/>
          <w:iCs/>
          <w:color w:val="242424"/>
          <w:sz w:val="22"/>
          <w:szCs w:val="22"/>
          <w:bdr w:val="none" w:sz="0" w:space="0" w:color="auto" w:frame="1"/>
          <w:lang w:val="en-US"/>
        </w:rPr>
        <w:t>(a) the carrying out of any works in, on, over or under land, or the making of any material change in the use of any land or structures situated on land, or</w:t>
      </w:r>
    </w:p>
    <w:p w14:paraId="6FA6F51A" w14:textId="1FA60FCA" w:rsidR="003048EB" w:rsidRPr="00C12431" w:rsidRDefault="004D3215" w:rsidP="00491D3C">
      <w:pPr>
        <w:pStyle w:val="xmsonormal"/>
        <w:shd w:val="clear" w:color="auto" w:fill="FFFFFF"/>
        <w:spacing w:before="0" w:beforeAutospacing="0" w:after="0" w:afterAutospacing="0"/>
        <w:ind w:left="360"/>
        <w:jc w:val="both"/>
        <w:rPr>
          <w:rFonts w:ascii="Arial" w:hAnsi="Arial" w:cs="Arial"/>
          <w:color w:val="242424"/>
          <w:sz w:val="22"/>
          <w:szCs w:val="22"/>
        </w:rPr>
      </w:pPr>
      <w:r w:rsidRPr="000A7AB6">
        <w:rPr>
          <w:rFonts w:ascii="Arial" w:hAnsi="Arial" w:cs="Arial"/>
          <w:i/>
          <w:iCs/>
          <w:color w:val="242424"/>
          <w:sz w:val="22"/>
          <w:szCs w:val="22"/>
          <w:bdr w:val="none" w:sz="0" w:space="0" w:color="auto" w:frame="1"/>
          <w:lang w:val="en-US"/>
        </w:rPr>
        <w:t>(b) development within the meaning of Part XXI (inserted by section 171 of the Maritime Area Planning Act 2021).</w:t>
      </w:r>
    </w:p>
    <w:p w14:paraId="26B1E8EC" w14:textId="77777777" w:rsidR="003048EB" w:rsidRPr="000A7AB6" w:rsidRDefault="003048EB" w:rsidP="00491D3C">
      <w:pPr>
        <w:rPr>
          <w:szCs w:val="22"/>
        </w:rPr>
      </w:pPr>
    </w:p>
    <w:p w14:paraId="1C625FBA" w14:textId="77777777" w:rsidR="0020458B" w:rsidRPr="000A7AB6" w:rsidRDefault="0020458B" w:rsidP="00491D3C">
      <w:pPr>
        <w:rPr>
          <w:szCs w:val="22"/>
        </w:rPr>
      </w:pPr>
      <w:r w:rsidRPr="000A7AB6">
        <w:rPr>
          <w:szCs w:val="22"/>
        </w:rPr>
        <w:t>Section 4(1)(h),</w:t>
      </w:r>
    </w:p>
    <w:p w14:paraId="04FF221D" w14:textId="77777777" w:rsidR="0020458B" w:rsidRPr="000A7AB6" w:rsidRDefault="0020458B" w:rsidP="00491D3C">
      <w:pPr>
        <w:rPr>
          <w:szCs w:val="22"/>
        </w:rPr>
      </w:pPr>
      <w:r w:rsidRPr="000A7AB6">
        <w:rPr>
          <w:szCs w:val="22"/>
        </w:rPr>
        <w:t>The following shall be exempted developments for the purposes of this Act-development consisting of the carrying out of works for the maintenance, improvement or other alteration of any structure, being works which affect only the interior of the structure or which do not materially affect the external appearance of the structure so as to render the appearance inconsistent with the character of the structure or of neighbouring structures;</w:t>
      </w:r>
    </w:p>
    <w:p w14:paraId="4ACC6736" w14:textId="77777777" w:rsidR="0020458B" w:rsidRPr="000A7AB6" w:rsidRDefault="0020458B" w:rsidP="00491D3C">
      <w:pPr>
        <w:rPr>
          <w:szCs w:val="22"/>
        </w:rPr>
      </w:pPr>
    </w:p>
    <w:p w14:paraId="1EA050B2" w14:textId="77777777" w:rsidR="0020458B" w:rsidRPr="000A7AB6" w:rsidRDefault="0020458B" w:rsidP="00491D3C">
      <w:pPr>
        <w:rPr>
          <w:szCs w:val="22"/>
        </w:rPr>
      </w:pPr>
      <w:r w:rsidRPr="000A7AB6">
        <w:rPr>
          <w:szCs w:val="22"/>
        </w:rPr>
        <w:t>Section 4(2)</w:t>
      </w:r>
    </w:p>
    <w:p w14:paraId="07447A7C" w14:textId="77777777" w:rsidR="0020458B" w:rsidRPr="000A7AB6" w:rsidRDefault="0020458B" w:rsidP="00491D3C">
      <w:pPr>
        <w:rPr>
          <w:szCs w:val="22"/>
        </w:rPr>
      </w:pPr>
      <w:r w:rsidRPr="000A7AB6">
        <w:rPr>
          <w:szCs w:val="22"/>
        </w:rPr>
        <w:t>Section 4(2) provides that the Minister may, by regulations, provide for any class of development to be exempted development. The principal regulations made under this provision are the Planning and Development Regulations 2001-2013.</w:t>
      </w:r>
    </w:p>
    <w:p w14:paraId="691B94E7" w14:textId="77777777" w:rsidR="0020458B" w:rsidRPr="000A7AB6" w:rsidRDefault="0020458B" w:rsidP="00491D3C">
      <w:pPr>
        <w:rPr>
          <w:szCs w:val="22"/>
        </w:rPr>
      </w:pPr>
    </w:p>
    <w:p w14:paraId="622C420D" w14:textId="77777777" w:rsidR="0020458B" w:rsidRPr="000A7AB6" w:rsidRDefault="0020458B" w:rsidP="00491D3C">
      <w:pPr>
        <w:rPr>
          <w:iCs/>
          <w:szCs w:val="22"/>
        </w:rPr>
      </w:pPr>
      <w:r w:rsidRPr="000A7AB6">
        <w:rPr>
          <w:iCs/>
          <w:szCs w:val="22"/>
        </w:rPr>
        <w:t>Section 5(1),</w:t>
      </w:r>
    </w:p>
    <w:p w14:paraId="56EEC849" w14:textId="77777777" w:rsidR="0020458B" w:rsidRPr="000A7AB6" w:rsidRDefault="0020458B" w:rsidP="00491D3C">
      <w:pPr>
        <w:rPr>
          <w:iCs/>
          <w:szCs w:val="22"/>
        </w:rPr>
      </w:pPr>
      <w:r w:rsidRPr="000A7AB6">
        <w:rPr>
          <w:iCs/>
          <w:szCs w:val="22"/>
        </w:rPr>
        <w:t>(See Section 1 of this report above)</w:t>
      </w:r>
    </w:p>
    <w:p w14:paraId="21867103" w14:textId="77777777" w:rsidR="0020458B" w:rsidRPr="000A7AB6" w:rsidRDefault="0020458B" w:rsidP="00491D3C">
      <w:pPr>
        <w:rPr>
          <w:szCs w:val="22"/>
        </w:rPr>
      </w:pPr>
    </w:p>
    <w:p w14:paraId="7F28F6FF" w14:textId="77777777" w:rsidR="00C12431" w:rsidRDefault="00C12431" w:rsidP="00491D3C">
      <w:pPr>
        <w:rPr>
          <w:szCs w:val="22"/>
        </w:rPr>
      </w:pPr>
    </w:p>
    <w:p w14:paraId="3DAA476C" w14:textId="76142DAB" w:rsidR="0020458B" w:rsidRPr="000A7AB6" w:rsidRDefault="0020458B" w:rsidP="00491D3C">
      <w:pPr>
        <w:rPr>
          <w:szCs w:val="22"/>
        </w:rPr>
      </w:pPr>
      <w:r w:rsidRPr="000A7AB6">
        <w:rPr>
          <w:szCs w:val="22"/>
        </w:rPr>
        <w:t>Section 177U (9) (screening for appropriate assessment)</w:t>
      </w:r>
    </w:p>
    <w:p w14:paraId="4882D113" w14:textId="12415DB5" w:rsidR="0020458B" w:rsidRPr="000A7AB6" w:rsidRDefault="0020458B" w:rsidP="00491D3C">
      <w:pPr>
        <w:rPr>
          <w:szCs w:val="22"/>
        </w:rPr>
      </w:pPr>
      <w:r w:rsidRPr="000A7AB6">
        <w:rPr>
          <w:szCs w:val="22"/>
        </w:rPr>
        <w:t>In deciding upon a declaration or a referral under section 5 of this Act a planning authority or the Board</w:t>
      </w:r>
      <w:proofErr w:type="gramStart"/>
      <w:r w:rsidRPr="000A7AB6">
        <w:rPr>
          <w:szCs w:val="22"/>
        </w:rPr>
        <w:t>,</w:t>
      </w:r>
      <w:r w:rsidR="003048EB" w:rsidRPr="000A7AB6">
        <w:rPr>
          <w:szCs w:val="22"/>
        </w:rPr>
        <w:t xml:space="preserve"> </w:t>
      </w:r>
      <w:r w:rsidRPr="000A7AB6">
        <w:rPr>
          <w:szCs w:val="22"/>
        </w:rPr>
        <w:t>as the case may be, shall</w:t>
      </w:r>
      <w:proofErr w:type="gramEnd"/>
      <w:r w:rsidRPr="000A7AB6">
        <w:rPr>
          <w:szCs w:val="22"/>
        </w:rPr>
        <w:t xml:space="preserve"> where appropriate, conduct a screening for appropriate assessment in accordance with the provisions of this section.</w:t>
      </w:r>
    </w:p>
    <w:p w14:paraId="5D9BB3BF" w14:textId="77777777" w:rsidR="0020458B" w:rsidRPr="000A7AB6" w:rsidRDefault="0020458B" w:rsidP="00491D3C">
      <w:pPr>
        <w:rPr>
          <w:szCs w:val="22"/>
        </w:rPr>
      </w:pPr>
    </w:p>
    <w:p w14:paraId="394B8B2A" w14:textId="77777777" w:rsidR="0020458B" w:rsidRPr="000A7AB6" w:rsidRDefault="0020458B" w:rsidP="00491D3C">
      <w:pPr>
        <w:pStyle w:val="Heading2"/>
        <w:spacing w:before="0" w:after="0"/>
        <w:rPr>
          <w:rFonts w:ascii="Arial" w:hAnsi="Arial" w:cs="Arial"/>
          <w:sz w:val="22"/>
          <w:szCs w:val="22"/>
        </w:rPr>
      </w:pPr>
      <w:r w:rsidRPr="000A7AB6">
        <w:rPr>
          <w:rFonts w:ascii="Arial" w:hAnsi="Arial" w:cs="Arial"/>
          <w:sz w:val="22"/>
          <w:szCs w:val="22"/>
        </w:rPr>
        <w:t>The Planning and Development Regulations</w:t>
      </w:r>
    </w:p>
    <w:p w14:paraId="2226AFDD" w14:textId="77777777" w:rsidR="0020458B" w:rsidRPr="000A7AB6" w:rsidRDefault="0020458B" w:rsidP="00491D3C">
      <w:pPr>
        <w:rPr>
          <w:szCs w:val="22"/>
        </w:rPr>
      </w:pPr>
      <w:r w:rsidRPr="000A7AB6">
        <w:rPr>
          <w:szCs w:val="22"/>
        </w:rPr>
        <w:t xml:space="preserve">Article 6(1) </w:t>
      </w:r>
      <w:r w:rsidRPr="000A7AB6">
        <w:rPr>
          <w:szCs w:val="22"/>
        </w:rPr>
        <w:tab/>
      </w:r>
    </w:p>
    <w:p w14:paraId="41357073" w14:textId="77777777" w:rsidR="0020458B" w:rsidRPr="000A7AB6" w:rsidRDefault="0020458B" w:rsidP="00491D3C">
      <w:pPr>
        <w:rPr>
          <w:szCs w:val="22"/>
        </w:rPr>
      </w:pPr>
      <w:r w:rsidRPr="000A7AB6">
        <w:rPr>
          <w:szCs w:val="22"/>
        </w:rPr>
        <w:t>Subject to article 9, development of a class specified in column 1 of Part 1 of Schedule 2 shall be exempted development for the purposes of the Act, provided that such development complies with the conditions and limitations specified in column 2 of the said Part 1 opposite the mention of that class in the said column 1.</w:t>
      </w:r>
    </w:p>
    <w:p w14:paraId="3A27CA56" w14:textId="77777777" w:rsidR="0020458B" w:rsidRPr="000A7AB6" w:rsidRDefault="0020458B" w:rsidP="00491D3C">
      <w:pPr>
        <w:rPr>
          <w:b/>
          <w:szCs w:val="22"/>
          <w:highlight w:val="yellow"/>
        </w:rPr>
      </w:pPr>
    </w:p>
    <w:p w14:paraId="238A27ED" w14:textId="77777777" w:rsidR="0020458B" w:rsidRPr="000A7AB6" w:rsidRDefault="0020458B" w:rsidP="00491D3C">
      <w:pPr>
        <w:rPr>
          <w:bCs/>
          <w:szCs w:val="22"/>
        </w:rPr>
      </w:pPr>
      <w:r w:rsidRPr="000A7AB6">
        <w:rPr>
          <w:bCs/>
          <w:szCs w:val="22"/>
        </w:rPr>
        <w:t>Article 9(1)</w:t>
      </w:r>
    </w:p>
    <w:p w14:paraId="062A6B0B" w14:textId="77777777" w:rsidR="0020458B" w:rsidRPr="000A7AB6" w:rsidRDefault="0020458B" w:rsidP="00491D3C">
      <w:pPr>
        <w:rPr>
          <w:szCs w:val="22"/>
        </w:rPr>
      </w:pPr>
      <w:r w:rsidRPr="000A7AB6">
        <w:rPr>
          <w:szCs w:val="22"/>
        </w:rPr>
        <w:t xml:space="preserve">Development to which article 6 relates shall not be exempted development for the purposes of the Act— </w:t>
      </w:r>
    </w:p>
    <w:p w14:paraId="24594476" w14:textId="77777777" w:rsidR="0020458B" w:rsidRPr="000A7AB6" w:rsidRDefault="0020458B" w:rsidP="00491D3C">
      <w:pPr>
        <w:rPr>
          <w:szCs w:val="22"/>
        </w:rPr>
      </w:pPr>
      <w:r w:rsidRPr="000A7AB6">
        <w:rPr>
          <w:szCs w:val="22"/>
        </w:rPr>
        <w:t xml:space="preserve">(a) if the carrying out of such development would— </w:t>
      </w:r>
    </w:p>
    <w:p w14:paraId="0FA436F1" w14:textId="77777777" w:rsidR="0020458B" w:rsidRPr="000A7AB6" w:rsidRDefault="0020458B" w:rsidP="00491D3C">
      <w:pPr>
        <w:rPr>
          <w:szCs w:val="22"/>
        </w:rPr>
      </w:pPr>
      <w:r w:rsidRPr="000A7AB6">
        <w:rPr>
          <w:szCs w:val="22"/>
        </w:rPr>
        <w:t>(</w:t>
      </w:r>
      <w:proofErr w:type="spellStart"/>
      <w:r w:rsidRPr="000A7AB6">
        <w:rPr>
          <w:szCs w:val="22"/>
        </w:rPr>
        <w:t>i</w:t>
      </w:r>
      <w:proofErr w:type="spellEnd"/>
      <w:r w:rsidRPr="000A7AB6">
        <w:rPr>
          <w:szCs w:val="22"/>
        </w:rPr>
        <w:t xml:space="preserve">) contravene a condition attached to a permission under the Act or be inconsistent with any use specified in a permission under the Act, </w:t>
      </w:r>
    </w:p>
    <w:p w14:paraId="29DC6763" w14:textId="77777777" w:rsidR="0020458B" w:rsidRPr="000A7AB6" w:rsidRDefault="0020458B" w:rsidP="00491D3C">
      <w:pPr>
        <w:rPr>
          <w:szCs w:val="22"/>
        </w:rPr>
      </w:pPr>
      <w:r w:rsidRPr="000A7AB6">
        <w:rPr>
          <w:szCs w:val="22"/>
        </w:rPr>
        <w:t>…</w:t>
      </w:r>
    </w:p>
    <w:p w14:paraId="0776FE69" w14:textId="77777777" w:rsidR="0020458B" w:rsidRPr="000A7AB6" w:rsidRDefault="0020458B" w:rsidP="00491D3C">
      <w:pPr>
        <w:rPr>
          <w:szCs w:val="22"/>
        </w:rPr>
      </w:pPr>
      <w:r w:rsidRPr="000A7AB6">
        <w:rPr>
          <w:szCs w:val="22"/>
        </w:rPr>
        <w:lastRenderedPageBreak/>
        <w:t>(viii) consist of or comprise the extension, alteration, repair or renewal of an unauthorised structure or a structure the use of which is an unauthorised use,</w:t>
      </w:r>
    </w:p>
    <w:p w14:paraId="7B0AB385" w14:textId="77777777" w:rsidR="0020458B" w:rsidRPr="000A7AB6" w:rsidRDefault="0020458B" w:rsidP="00491D3C">
      <w:pPr>
        <w:rPr>
          <w:szCs w:val="22"/>
        </w:rPr>
      </w:pPr>
    </w:p>
    <w:p w14:paraId="6495EA0E" w14:textId="77777777" w:rsidR="0020458B" w:rsidRPr="000A7AB6" w:rsidRDefault="0020458B" w:rsidP="00491D3C">
      <w:pPr>
        <w:pStyle w:val="Heading2"/>
        <w:spacing w:before="0" w:after="0"/>
        <w:rPr>
          <w:rFonts w:ascii="Arial" w:hAnsi="Arial" w:cs="Arial"/>
          <w:b/>
          <w:bCs/>
          <w:sz w:val="22"/>
          <w:szCs w:val="22"/>
        </w:rPr>
      </w:pPr>
      <w:r w:rsidRPr="000A7AB6">
        <w:rPr>
          <w:rFonts w:ascii="Arial" w:hAnsi="Arial" w:cs="Arial"/>
          <w:b/>
          <w:bCs/>
          <w:sz w:val="22"/>
          <w:szCs w:val="22"/>
        </w:rPr>
        <w:t>Assessment</w:t>
      </w:r>
    </w:p>
    <w:p w14:paraId="6640F4EC" w14:textId="77777777" w:rsidR="0020458B" w:rsidRPr="000A7AB6" w:rsidRDefault="0020458B" w:rsidP="00491D3C">
      <w:pPr>
        <w:rPr>
          <w:szCs w:val="22"/>
        </w:rPr>
      </w:pPr>
      <w:r w:rsidRPr="000A7AB6">
        <w:rPr>
          <w:szCs w:val="22"/>
        </w:rPr>
        <w:t xml:space="preserve">The purpose of this report is to assess </w:t>
      </w:r>
      <w:proofErr w:type="gramStart"/>
      <w:r w:rsidRPr="000A7AB6">
        <w:rPr>
          <w:szCs w:val="22"/>
        </w:rPr>
        <w:t>whether or not</w:t>
      </w:r>
      <w:proofErr w:type="gramEnd"/>
      <w:r w:rsidRPr="000A7AB6">
        <w:rPr>
          <w:szCs w:val="22"/>
        </w:rPr>
        <w:t xml:space="preserve"> the matter in question constitutes development and whether it falls within the scope of exempted development. </w:t>
      </w:r>
    </w:p>
    <w:p w14:paraId="6500F9C4" w14:textId="77777777" w:rsidR="0020458B" w:rsidRPr="000A7AB6" w:rsidRDefault="0020458B" w:rsidP="00491D3C">
      <w:pPr>
        <w:rPr>
          <w:szCs w:val="22"/>
        </w:rPr>
      </w:pPr>
    </w:p>
    <w:p w14:paraId="717AD3F4" w14:textId="77777777" w:rsidR="0020458B" w:rsidRPr="000A7AB6" w:rsidRDefault="0020458B" w:rsidP="00491D3C">
      <w:pPr>
        <w:rPr>
          <w:szCs w:val="22"/>
        </w:rPr>
      </w:pPr>
      <w:r w:rsidRPr="000A7AB6">
        <w:rPr>
          <w:szCs w:val="22"/>
        </w:rPr>
        <w:t>Matters pertaining to the acceptability of the proposal in respect of the proper planning and sustainable development of the area is not a consideration under Section 5.</w:t>
      </w:r>
    </w:p>
    <w:p w14:paraId="10222C3B" w14:textId="77777777" w:rsidR="0020458B" w:rsidRPr="000A7AB6" w:rsidRDefault="0020458B" w:rsidP="00491D3C">
      <w:pPr>
        <w:rPr>
          <w:rStyle w:val="cf01"/>
          <w:rFonts w:ascii="Arial" w:hAnsi="Arial" w:cs="Arial"/>
          <w:sz w:val="22"/>
          <w:szCs w:val="22"/>
        </w:rPr>
      </w:pPr>
    </w:p>
    <w:p w14:paraId="0A079F31" w14:textId="77777777" w:rsidR="0020458B" w:rsidRPr="000A7AB6" w:rsidRDefault="0020458B" w:rsidP="00491D3C">
      <w:pPr>
        <w:pStyle w:val="Heading3"/>
        <w:spacing w:before="0" w:after="0"/>
        <w:rPr>
          <w:rFonts w:cs="Arial"/>
          <w:sz w:val="22"/>
          <w:szCs w:val="22"/>
        </w:rPr>
      </w:pPr>
      <w:r w:rsidRPr="000A7AB6">
        <w:rPr>
          <w:rFonts w:cs="Arial"/>
          <w:sz w:val="22"/>
          <w:szCs w:val="22"/>
        </w:rPr>
        <w:t>Development</w:t>
      </w:r>
    </w:p>
    <w:p w14:paraId="6172C06A" w14:textId="77777777" w:rsidR="0020458B" w:rsidRPr="000A7AB6" w:rsidRDefault="0020458B" w:rsidP="00491D3C">
      <w:pPr>
        <w:rPr>
          <w:szCs w:val="22"/>
        </w:rPr>
      </w:pPr>
      <w:r w:rsidRPr="000A7AB6">
        <w:rPr>
          <w:szCs w:val="22"/>
        </w:rPr>
        <w:t xml:space="preserve">The first issue for consideration is </w:t>
      </w:r>
      <w:proofErr w:type="gramStart"/>
      <w:r w:rsidRPr="000A7AB6">
        <w:rPr>
          <w:szCs w:val="22"/>
        </w:rPr>
        <w:t>whether or not</w:t>
      </w:r>
      <w:proofErr w:type="gramEnd"/>
      <w:r w:rsidRPr="000A7AB6">
        <w:rPr>
          <w:szCs w:val="22"/>
        </w:rPr>
        <w:t xml:space="preserve"> the matter at hand is ‘development’?</w:t>
      </w:r>
    </w:p>
    <w:p w14:paraId="0A4C8365" w14:textId="77777777" w:rsidR="0020458B" w:rsidRPr="000A7AB6" w:rsidRDefault="0020458B" w:rsidP="00491D3C">
      <w:pPr>
        <w:rPr>
          <w:szCs w:val="22"/>
        </w:rPr>
      </w:pPr>
    </w:p>
    <w:p w14:paraId="345967D9" w14:textId="77777777" w:rsidR="0020458B" w:rsidRPr="000A7AB6" w:rsidRDefault="0020458B" w:rsidP="00491D3C">
      <w:pPr>
        <w:rPr>
          <w:szCs w:val="22"/>
        </w:rPr>
      </w:pPr>
      <w:r w:rsidRPr="000A7AB6">
        <w:rPr>
          <w:szCs w:val="22"/>
        </w:rPr>
        <w:t>‘Development’ as defined in the Act (3)(1) comprises two possible chief components: ‘the carrying out of any works on, in, over or under land’, or ‘the making of any material change in the use of any structures or other land’. In order to ascertain whether or not the subject use is considered to be development as so defined, consideration must first be given to whether any works on, in, over or under land have or will be carried out, and secondly to whether any material change in the use of any structures or other land have or will take place.</w:t>
      </w:r>
    </w:p>
    <w:p w14:paraId="64F1C579" w14:textId="77777777" w:rsidR="0020458B" w:rsidRPr="000A7AB6" w:rsidRDefault="0020458B" w:rsidP="00491D3C">
      <w:pPr>
        <w:rPr>
          <w:szCs w:val="22"/>
        </w:rPr>
      </w:pPr>
    </w:p>
    <w:p w14:paraId="2A31A466" w14:textId="77777777" w:rsidR="0020458B" w:rsidRPr="000A7AB6" w:rsidRDefault="0020458B" w:rsidP="00491D3C">
      <w:pPr>
        <w:rPr>
          <w:szCs w:val="22"/>
        </w:rPr>
      </w:pPr>
      <w:r w:rsidRPr="000A7AB6">
        <w:rPr>
          <w:szCs w:val="22"/>
        </w:rPr>
        <w:t>‘Works’ is defined in section 2(1) of the Act as ‘the carrying out of any works on, in, over, or under land’ including ‘any act or operation of construction, excavation, demolition, extension, alteration, repair or renewal, and in relation to a protected structure or proposed protected structure, includes any act or operation involving the application or removal of plaster, paint wallpaper, tiles or other material to or from the surfaces of the interior or exterior of a structure.’</w:t>
      </w:r>
    </w:p>
    <w:p w14:paraId="4D7CB70B" w14:textId="77777777" w:rsidR="0020458B" w:rsidRPr="000A7AB6" w:rsidRDefault="0020458B" w:rsidP="00491D3C">
      <w:pPr>
        <w:rPr>
          <w:szCs w:val="22"/>
        </w:rPr>
      </w:pPr>
    </w:p>
    <w:p w14:paraId="4487009B" w14:textId="2C20AAA4" w:rsidR="0020458B" w:rsidRPr="000A7AB6" w:rsidRDefault="0020458B" w:rsidP="00491D3C">
      <w:pPr>
        <w:rPr>
          <w:szCs w:val="22"/>
        </w:rPr>
      </w:pPr>
      <w:r w:rsidRPr="000A7AB6">
        <w:rPr>
          <w:szCs w:val="22"/>
        </w:rPr>
        <w:t xml:space="preserve">The addition of external insulation on </w:t>
      </w:r>
      <w:r w:rsidR="000F57FD" w:rsidRPr="000A7AB6">
        <w:rPr>
          <w:szCs w:val="22"/>
        </w:rPr>
        <w:t xml:space="preserve">the </w:t>
      </w:r>
      <w:r w:rsidRPr="000A7AB6">
        <w:rPr>
          <w:szCs w:val="22"/>
        </w:rPr>
        <w:t xml:space="preserve">front wall of </w:t>
      </w:r>
      <w:r w:rsidR="000F57FD" w:rsidRPr="000A7AB6">
        <w:rPr>
          <w:szCs w:val="22"/>
        </w:rPr>
        <w:t xml:space="preserve">the </w:t>
      </w:r>
      <w:r w:rsidRPr="000A7AB6">
        <w:rPr>
          <w:szCs w:val="22"/>
        </w:rPr>
        <w:t>house falls within the definition of ‘</w:t>
      </w:r>
      <w:proofErr w:type="gramStart"/>
      <w:r w:rsidRPr="000A7AB6">
        <w:rPr>
          <w:szCs w:val="22"/>
        </w:rPr>
        <w:t>works’</w:t>
      </w:r>
      <w:proofErr w:type="gramEnd"/>
      <w:r w:rsidRPr="000A7AB6">
        <w:rPr>
          <w:szCs w:val="22"/>
        </w:rPr>
        <w:t xml:space="preserve">. Therefore, the proposal constitutes development within the meaning of the Act.  </w:t>
      </w:r>
    </w:p>
    <w:p w14:paraId="0A2F0B76" w14:textId="77777777" w:rsidR="0020458B" w:rsidRPr="000A7AB6" w:rsidRDefault="0020458B" w:rsidP="00491D3C">
      <w:pPr>
        <w:rPr>
          <w:szCs w:val="22"/>
        </w:rPr>
      </w:pPr>
    </w:p>
    <w:p w14:paraId="49D7567A" w14:textId="77777777" w:rsidR="0020458B" w:rsidRPr="000A7AB6" w:rsidRDefault="0020458B" w:rsidP="00491D3C">
      <w:pPr>
        <w:rPr>
          <w:b/>
          <w:bCs/>
          <w:szCs w:val="22"/>
        </w:rPr>
      </w:pPr>
      <w:r w:rsidRPr="000A7AB6">
        <w:rPr>
          <w:b/>
          <w:bCs/>
          <w:szCs w:val="22"/>
        </w:rPr>
        <w:t xml:space="preserve">Conclusion: </w:t>
      </w:r>
      <w:r w:rsidRPr="000A7AB6">
        <w:rPr>
          <w:szCs w:val="22"/>
        </w:rPr>
        <w:t>The works are considered development.</w:t>
      </w:r>
    </w:p>
    <w:p w14:paraId="6B0F01CF" w14:textId="77777777" w:rsidR="009248F9" w:rsidRDefault="009248F9" w:rsidP="00491D3C">
      <w:pPr>
        <w:pStyle w:val="Heading3"/>
        <w:spacing w:before="0" w:after="0"/>
        <w:rPr>
          <w:rFonts w:cs="Arial"/>
          <w:b/>
          <w:bCs/>
          <w:sz w:val="22"/>
          <w:szCs w:val="22"/>
        </w:rPr>
      </w:pPr>
    </w:p>
    <w:p w14:paraId="3593F8D3" w14:textId="30EF6553" w:rsidR="0020458B" w:rsidRPr="000A7AB6" w:rsidRDefault="0020458B" w:rsidP="00491D3C">
      <w:pPr>
        <w:pStyle w:val="Heading3"/>
        <w:spacing w:before="0" w:after="0"/>
        <w:rPr>
          <w:rFonts w:cs="Arial"/>
          <w:b/>
          <w:bCs/>
          <w:sz w:val="22"/>
          <w:szCs w:val="22"/>
        </w:rPr>
      </w:pPr>
      <w:r w:rsidRPr="000A7AB6">
        <w:rPr>
          <w:rFonts w:cs="Arial"/>
          <w:b/>
          <w:bCs/>
          <w:sz w:val="22"/>
          <w:szCs w:val="22"/>
        </w:rPr>
        <w:t>Exempted Development</w:t>
      </w:r>
    </w:p>
    <w:p w14:paraId="673B3309" w14:textId="1B61D7B5" w:rsidR="0020458B" w:rsidRPr="000A7AB6" w:rsidRDefault="0020458B" w:rsidP="00491D3C">
      <w:pPr>
        <w:rPr>
          <w:szCs w:val="22"/>
        </w:rPr>
      </w:pPr>
      <w:r w:rsidRPr="000A7AB6">
        <w:rPr>
          <w:szCs w:val="22"/>
        </w:rPr>
        <w:t xml:space="preserve">The next issue for consideration is </w:t>
      </w:r>
      <w:proofErr w:type="gramStart"/>
      <w:r w:rsidRPr="000A7AB6">
        <w:rPr>
          <w:szCs w:val="22"/>
        </w:rPr>
        <w:t>whether or not</w:t>
      </w:r>
      <w:proofErr w:type="gramEnd"/>
      <w:r w:rsidRPr="000A7AB6">
        <w:rPr>
          <w:szCs w:val="22"/>
        </w:rPr>
        <w:t xml:space="preserve"> the matter at hand is Exempted Development</w:t>
      </w:r>
      <w:r w:rsidR="000F57FD" w:rsidRPr="000A7AB6">
        <w:rPr>
          <w:szCs w:val="22"/>
        </w:rPr>
        <w:t>.</w:t>
      </w:r>
      <w:r w:rsidRPr="000A7AB6">
        <w:rPr>
          <w:szCs w:val="22"/>
        </w:rPr>
        <w:t xml:space="preserve"> </w:t>
      </w:r>
    </w:p>
    <w:p w14:paraId="6521CE0A" w14:textId="77777777" w:rsidR="0020458B" w:rsidRPr="000A7AB6" w:rsidRDefault="0020458B" w:rsidP="00491D3C">
      <w:pPr>
        <w:rPr>
          <w:szCs w:val="22"/>
        </w:rPr>
      </w:pPr>
    </w:p>
    <w:p w14:paraId="5CEA3371" w14:textId="77777777" w:rsidR="0020458B" w:rsidRPr="000A7AB6" w:rsidRDefault="0020458B" w:rsidP="00491D3C">
      <w:pPr>
        <w:rPr>
          <w:szCs w:val="22"/>
        </w:rPr>
      </w:pPr>
      <w:r w:rsidRPr="000A7AB6">
        <w:rPr>
          <w:szCs w:val="22"/>
        </w:rPr>
        <w:t xml:space="preserve">The proposed works are not listed within Schedule 2 Part 1 of the Planning and Development regulations 2001 (as amended) which lists Exempted Development.  Article 6 therefore does not provide for this type of development. </w:t>
      </w:r>
    </w:p>
    <w:p w14:paraId="1FC45FC7" w14:textId="77777777" w:rsidR="0020458B" w:rsidRPr="000A7AB6" w:rsidRDefault="0020458B" w:rsidP="00491D3C">
      <w:pPr>
        <w:rPr>
          <w:szCs w:val="22"/>
        </w:rPr>
      </w:pPr>
    </w:p>
    <w:p w14:paraId="4B9B1415" w14:textId="2FDDEDA0" w:rsidR="0020458B" w:rsidRPr="000A7AB6" w:rsidRDefault="0020458B" w:rsidP="00491D3C">
      <w:pPr>
        <w:rPr>
          <w:szCs w:val="22"/>
        </w:rPr>
      </w:pPr>
      <w:r w:rsidRPr="000A7AB6">
        <w:rPr>
          <w:szCs w:val="22"/>
        </w:rPr>
        <w:t xml:space="preserve">Section 4(1)(h) of the Act provides that development consisting of the carrying out of works for the </w:t>
      </w:r>
      <w:r w:rsidRPr="000A7AB6">
        <w:rPr>
          <w:szCs w:val="22"/>
          <w:u w:val="single"/>
        </w:rPr>
        <w:t>maintenance, improvement or other alteration</w:t>
      </w:r>
      <w:r w:rsidRPr="000A7AB6">
        <w:rPr>
          <w:szCs w:val="22"/>
        </w:rPr>
        <w:t xml:space="preserve"> of any structure, being works which affect only the interior of the structure or which do not materially affect the external appearance of the structure </w:t>
      </w:r>
      <w:r w:rsidRPr="000A7AB6">
        <w:rPr>
          <w:szCs w:val="22"/>
          <w:u w:val="single"/>
        </w:rPr>
        <w:t>so as to render the appearance inconsistent with the character of the structure or of neighbouring structures</w:t>
      </w:r>
      <w:r w:rsidRPr="000A7AB6">
        <w:rPr>
          <w:szCs w:val="22"/>
        </w:rPr>
        <w:t>.</w:t>
      </w:r>
    </w:p>
    <w:p w14:paraId="175E4BB6" w14:textId="77777777" w:rsidR="0020458B" w:rsidRPr="000A7AB6" w:rsidRDefault="0020458B" w:rsidP="00491D3C">
      <w:pPr>
        <w:rPr>
          <w:szCs w:val="22"/>
        </w:rPr>
      </w:pPr>
    </w:p>
    <w:p w14:paraId="178B560B" w14:textId="63FEA06D" w:rsidR="0020458B" w:rsidRPr="000A7AB6" w:rsidRDefault="0020458B" w:rsidP="00491D3C">
      <w:pPr>
        <w:rPr>
          <w:szCs w:val="22"/>
        </w:rPr>
      </w:pPr>
      <w:r w:rsidRPr="000A7AB6">
        <w:rPr>
          <w:szCs w:val="22"/>
        </w:rPr>
        <w:t>External insulation is considered to come under maintenance, and it</w:t>
      </w:r>
      <w:r w:rsidR="0001110A" w:rsidRPr="000A7AB6">
        <w:rPr>
          <w:szCs w:val="22"/>
        </w:rPr>
        <w:t>s acknowledged it</w:t>
      </w:r>
      <w:r w:rsidRPr="000A7AB6">
        <w:rPr>
          <w:szCs w:val="22"/>
        </w:rPr>
        <w:t xml:space="preserve"> will be an improvement to the energy efficiency of the house.  The addition of external insulation to this dwelling will alter the external appearance of the </w:t>
      </w:r>
      <w:r w:rsidR="0001110A" w:rsidRPr="000A7AB6">
        <w:rPr>
          <w:szCs w:val="22"/>
        </w:rPr>
        <w:t>house, however</w:t>
      </w:r>
      <w:r w:rsidRPr="000A7AB6">
        <w:rPr>
          <w:szCs w:val="22"/>
        </w:rPr>
        <w:t xml:space="preserve">.  The test is whether it would materially affect the external appearance of the </w:t>
      </w:r>
      <w:r w:rsidR="0001110A" w:rsidRPr="000A7AB6">
        <w:rPr>
          <w:szCs w:val="22"/>
        </w:rPr>
        <w:t>building</w:t>
      </w:r>
      <w:r w:rsidRPr="000A7AB6">
        <w:rPr>
          <w:szCs w:val="22"/>
        </w:rPr>
        <w:t xml:space="preserve"> </w:t>
      </w:r>
      <w:proofErr w:type="gramStart"/>
      <w:r w:rsidRPr="000A7AB6">
        <w:rPr>
          <w:szCs w:val="22"/>
        </w:rPr>
        <w:t>so as to</w:t>
      </w:r>
      <w:proofErr w:type="gramEnd"/>
      <w:r w:rsidRPr="000A7AB6">
        <w:rPr>
          <w:szCs w:val="22"/>
        </w:rPr>
        <w:t xml:space="preserve"> render the appearance consistent with the character of the </w:t>
      </w:r>
      <w:r w:rsidR="0001110A" w:rsidRPr="000A7AB6">
        <w:rPr>
          <w:szCs w:val="22"/>
        </w:rPr>
        <w:t>dwelling</w:t>
      </w:r>
      <w:r w:rsidRPr="000A7AB6">
        <w:rPr>
          <w:szCs w:val="22"/>
        </w:rPr>
        <w:t xml:space="preserve"> or of neighbouring </w:t>
      </w:r>
      <w:r w:rsidR="0001110A" w:rsidRPr="000A7AB6">
        <w:rPr>
          <w:szCs w:val="22"/>
        </w:rPr>
        <w:t>or surrounding dwellings</w:t>
      </w:r>
      <w:r w:rsidRPr="000A7AB6">
        <w:rPr>
          <w:szCs w:val="22"/>
        </w:rPr>
        <w:t xml:space="preserve">. </w:t>
      </w:r>
    </w:p>
    <w:p w14:paraId="57709E10" w14:textId="77777777" w:rsidR="0020458B" w:rsidRPr="000A7AB6" w:rsidRDefault="0020458B" w:rsidP="00491D3C">
      <w:pPr>
        <w:rPr>
          <w:szCs w:val="22"/>
        </w:rPr>
      </w:pPr>
    </w:p>
    <w:p w14:paraId="166CC340" w14:textId="63AF42B2" w:rsidR="0020458B" w:rsidRPr="000A7AB6" w:rsidRDefault="0020458B" w:rsidP="00491D3C">
      <w:pPr>
        <w:rPr>
          <w:szCs w:val="22"/>
        </w:rPr>
      </w:pPr>
      <w:r w:rsidRPr="000A7AB6">
        <w:rPr>
          <w:szCs w:val="22"/>
        </w:rPr>
        <w:t xml:space="preserve">In terms of whether the works would render the appearance inconsistent with the character of the </w:t>
      </w:r>
      <w:r w:rsidR="0001110A" w:rsidRPr="000A7AB6">
        <w:rPr>
          <w:szCs w:val="22"/>
        </w:rPr>
        <w:t>dwelling</w:t>
      </w:r>
      <w:r w:rsidRPr="000A7AB6">
        <w:rPr>
          <w:szCs w:val="22"/>
        </w:rPr>
        <w:t>, I would refer to case law (</w:t>
      </w:r>
      <w:proofErr w:type="spellStart"/>
      <w:r w:rsidRPr="000A7AB6">
        <w:rPr>
          <w:szCs w:val="22"/>
        </w:rPr>
        <w:t>Cairnduff</w:t>
      </w:r>
      <w:proofErr w:type="spellEnd"/>
      <w:r w:rsidRPr="000A7AB6">
        <w:rPr>
          <w:szCs w:val="22"/>
        </w:rPr>
        <w:t xml:space="preserve"> v. O’Connell, 1986), in which the matter of the character of the structure was discussed. The key elements of character to which the Supreme Court had regard included shape, colour, design, ornamental features and layout. </w:t>
      </w:r>
    </w:p>
    <w:p w14:paraId="1B1BAFF5" w14:textId="77777777" w:rsidR="0020458B" w:rsidRPr="000A7AB6" w:rsidRDefault="0020458B" w:rsidP="00491D3C">
      <w:pPr>
        <w:rPr>
          <w:szCs w:val="22"/>
        </w:rPr>
      </w:pPr>
    </w:p>
    <w:p w14:paraId="103A0BCB" w14:textId="62CFE051" w:rsidR="0020458B" w:rsidRPr="000A7AB6" w:rsidRDefault="0020458B" w:rsidP="00491D3C">
      <w:pPr>
        <w:rPr>
          <w:szCs w:val="22"/>
        </w:rPr>
      </w:pPr>
      <w:r w:rsidRPr="000A7AB6">
        <w:rPr>
          <w:szCs w:val="22"/>
        </w:rPr>
        <w:lastRenderedPageBreak/>
        <w:t xml:space="preserve">In terms of the character of the house and the neighbouring houses, </w:t>
      </w:r>
      <w:r w:rsidR="00BE243D" w:rsidRPr="000A7AB6">
        <w:rPr>
          <w:szCs w:val="22"/>
        </w:rPr>
        <w:t>the application site</w:t>
      </w:r>
      <w:r w:rsidRPr="000A7AB6">
        <w:rPr>
          <w:szCs w:val="22"/>
        </w:rPr>
        <w:t xml:space="preserve"> is a semi-detached </w:t>
      </w:r>
      <w:r w:rsidR="00BE243D" w:rsidRPr="000A7AB6">
        <w:rPr>
          <w:szCs w:val="22"/>
        </w:rPr>
        <w:t>dwelling</w:t>
      </w:r>
      <w:r w:rsidRPr="000A7AB6">
        <w:rPr>
          <w:szCs w:val="22"/>
        </w:rPr>
        <w:t xml:space="preserve"> with a single storey </w:t>
      </w:r>
      <w:r w:rsidR="009248F9">
        <w:rPr>
          <w:szCs w:val="22"/>
        </w:rPr>
        <w:t>attached</w:t>
      </w:r>
      <w:r w:rsidRPr="000A7AB6">
        <w:rPr>
          <w:szCs w:val="22"/>
        </w:rPr>
        <w:t xml:space="preserve"> </w:t>
      </w:r>
      <w:r w:rsidR="00427CE0" w:rsidRPr="000A7AB6">
        <w:rPr>
          <w:szCs w:val="22"/>
        </w:rPr>
        <w:t>garage</w:t>
      </w:r>
      <w:r w:rsidRPr="000A7AB6">
        <w:rPr>
          <w:szCs w:val="22"/>
        </w:rPr>
        <w:t xml:space="preserve"> </w:t>
      </w:r>
      <w:r w:rsidR="00BE243D" w:rsidRPr="000A7AB6">
        <w:rPr>
          <w:szCs w:val="22"/>
        </w:rPr>
        <w:t>to</w:t>
      </w:r>
      <w:r w:rsidRPr="000A7AB6">
        <w:rPr>
          <w:szCs w:val="22"/>
        </w:rPr>
        <w:t xml:space="preserve"> the </w:t>
      </w:r>
      <w:r w:rsidR="009248F9">
        <w:rPr>
          <w:szCs w:val="22"/>
        </w:rPr>
        <w:t xml:space="preserve">west </w:t>
      </w:r>
      <w:r w:rsidRPr="000A7AB6">
        <w:rPr>
          <w:szCs w:val="22"/>
        </w:rPr>
        <w:t xml:space="preserve">side in an established residential area.  The house is </w:t>
      </w:r>
      <w:r w:rsidR="00BE243D" w:rsidRPr="000A7AB6">
        <w:rPr>
          <w:szCs w:val="22"/>
        </w:rPr>
        <w:t xml:space="preserve">part of </w:t>
      </w:r>
      <w:r w:rsidRPr="000A7AB6">
        <w:rPr>
          <w:szCs w:val="22"/>
        </w:rPr>
        <w:t>a row of houses</w:t>
      </w:r>
      <w:r w:rsidR="00BE243D" w:rsidRPr="000A7AB6">
        <w:rPr>
          <w:szCs w:val="22"/>
        </w:rPr>
        <w:t xml:space="preserve"> some of which are facing an open communal green area</w:t>
      </w:r>
      <w:r w:rsidR="00427CE0" w:rsidRPr="000A7AB6">
        <w:rPr>
          <w:szCs w:val="22"/>
        </w:rPr>
        <w:t xml:space="preserve">. </w:t>
      </w:r>
      <w:r w:rsidRPr="000A7AB6">
        <w:rPr>
          <w:szCs w:val="22"/>
        </w:rPr>
        <w:t>The external finish</w:t>
      </w:r>
      <w:r w:rsidR="00BE243D" w:rsidRPr="000A7AB6">
        <w:rPr>
          <w:szCs w:val="22"/>
        </w:rPr>
        <w:t xml:space="preserve"> of the front elevation of the property</w:t>
      </w:r>
      <w:r w:rsidRPr="000A7AB6">
        <w:rPr>
          <w:szCs w:val="22"/>
        </w:rPr>
        <w:t xml:space="preserve"> is a</w:t>
      </w:r>
      <w:r w:rsidR="00427CE0" w:rsidRPr="000A7AB6">
        <w:rPr>
          <w:szCs w:val="22"/>
        </w:rPr>
        <w:t xml:space="preserve"> brown </w:t>
      </w:r>
      <w:proofErr w:type="gramStart"/>
      <w:r w:rsidR="00BE243D" w:rsidRPr="000A7AB6">
        <w:rPr>
          <w:szCs w:val="22"/>
        </w:rPr>
        <w:t>but,</w:t>
      </w:r>
      <w:proofErr w:type="gramEnd"/>
      <w:r w:rsidR="00BE243D" w:rsidRPr="000A7AB6">
        <w:rPr>
          <w:szCs w:val="22"/>
        </w:rPr>
        <w:t xml:space="preserve"> mostly</w:t>
      </w:r>
      <w:r w:rsidR="00427CE0" w:rsidRPr="000A7AB6">
        <w:rPr>
          <w:szCs w:val="22"/>
        </w:rPr>
        <w:t xml:space="preserve"> grey</w:t>
      </w:r>
      <w:r w:rsidRPr="000A7AB6">
        <w:rPr>
          <w:szCs w:val="22"/>
        </w:rPr>
        <w:t xml:space="preserve"> </w:t>
      </w:r>
      <w:r w:rsidR="00244376" w:rsidRPr="000A7AB6">
        <w:rPr>
          <w:szCs w:val="22"/>
        </w:rPr>
        <w:t xml:space="preserve">stone cladding </w:t>
      </w:r>
      <w:r w:rsidRPr="000A7AB6">
        <w:rPr>
          <w:szCs w:val="22"/>
        </w:rPr>
        <w:t>on the lower front elevation</w:t>
      </w:r>
      <w:r w:rsidR="00BE243D" w:rsidRPr="000A7AB6">
        <w:rPr>
          <w:szCs w:val="22"/>
        </w:rPr>
        <w:t>,</w:t>
      </w:r>
      <w:r w:rsidRPr="000A7AB6">
        <w:rPr>
          <w:szCs w:val="22"/>
        </w:rPr>
        <w:t xml:space="preserve"> with a </w:t>
      </w:r>
      <w:r w:rsidR="009248F9">
        <w:rPr>
          <w:szCs w:val="22"/>
        </w:rPr>
        <w:t>pal</w:t>
      </w:r>
      <w:r w:rsidR="00CB1FEB">
        <w:rPr>
          <w:szCs w:val="22"/>
        </w:rPr>
        <w:t>e</w:t>
      </w:r>
      <w:r w:rsidR="009248F9">
        <w:rPr>
          <w:szCs w:val="22"/>
        </w:rPr>
        <w:t xml:space="preserve"> pebble dash</w:t>
      </w:r>
      <w:r w:rsidRPr="000A7AB6">
        <w:rPr>
          <w:szCs w:val="22"/>
        </w:rPr>
        <w:t xml:space="preserve"> at first floor</w:t>
      </w:r>
      <w:r w:rsidR="00BE243D" w:rsidRPr="000A7AB6">
        <w:rPr>
          <w:szCs w:val="22"/>
        </w:rPr>
        <w:t xml:space="preserve"> level</w:t>
      </w:r>
      <w:r w:rsidRPr="000A7AB6">
        <w:rPr>
          <w:szCs w:val="22"/>
        </w:rPr>
        <w:t xml:space="preserve">.    </w:t>
      </w:r>
    </w:p>
    <w:p w14:paraId="1DE330A8" w14:textId="77777777" w:rsidR="0020458B" w:rsidRPr="000A7AB6" w:rsidRDefault="0020458B" w:rsidP="00491D3C">
      <w:pPr>
        <w:rPr>
          <w:szCs w:val="22"/>
        </w:rPr>
      </w:pPr>
    </w:p>
    <w:p w14:paraId="5073C970" w14:textId="3A68DA38" w:rsidR="0020458B" w:rsidRDefault="0020458B" w:rsidP="00491D3C">
      <w:pPr>
        <w:rPr>
          <w:szCs w:val="22"/>
        </w:rPr>
      </w:pPr>
      <w:r w:rsidRPr="000A7AB6">
        <w:rPr>
          <w:szCs w:val="22"/>
        </w:rPr>
        <w:t xml:space="preserve">It is considered that all the houses </w:t>
      </w:r>
      <w:r w:rsidR="00427CE0" w:rsidRPr="000A7AB6">
        <w:rPr>
          <w:szCs w:val="22"/>
        </w:rPr>
        <w:t>on the street</w:t>
      </w:r>
      <w:r w:rsidRPr="000A7AB6">
        <w:rPr>
          <w:szCs w:val="22"/>
        </w:rPr>
        <w:t xml:space="preserve"> would have had the same finishes and a strong sense of uniformity and consistency upon construction. </w:t>
      </w:r>
      <w:r w:rsidR="00BE243D" w:rsidRPr="000A7AB6">
        <w:rPr>
          <w:szCs w:val="22"/>
        </w:rPr>
        <w:t>Currently, the adjoining dwellings have this stone clad finish</w:t>
      </w:r>
      <w:r w:rsidR="009248F9">
        <w:rPr>
          <w:szCs w:val="22"/>
        </w:rPr>
        <w:t xml:space="preserve"> and pebble dash upper level</w:t>
      </w:r>
      <w:r w:rsidR="00BE243D" w:rsidRPr="000A7AB6">
        <w:rPr>
          <w:szCs w:val="22"/>
        </w:rPr>
        <w:t xml:space="preserve">, however </w:t>
      </w:r>
      <w:r w:rsidR="00B27D7A" w:rsidRPr="000A7AB6">
        <w:rPr>
          <w:szCs w:val="22"/>
        </w:rPr>
        <w:t>there</w:t>
      </w:r>
      <w:r w:rsidR="00BE243D" w:rsidRPr="000A7AB6">
        <w:rPr>
          <w:szCs w:val="22"/>
        </w:rPr>
        <w:t xml:space="preserve"> are </w:t>
      </w:r>
      <w:proofErr w:type="gramStart"/>
      <w:r w:rsidR="00BE243D" w:rsidRPr="000A7AB6">
        <w:rPr>
          <w:szCs w:val="22"/>
        </w:rPr>
        <w:t xml:space="preserve">a </w:t>
      </w:r>
      <w:r w:rsidR="00CB1FEB">
        <w:rPr>
          <w:szCs w:val="22"/>
        </w:rPr>
        <w:t>number of</w:t>
      </w:r>
      <w:proofErr w:type="gramEnd"/>
      <w:r w:rsidR="00CB1FEB">
        <w:rPr>
          <w:szCs w:val="22"/>
        </w:rPr>
        <w:t xml:space="preserve"> </w:t>
      </w:r>
      <w:r w:rsidR="00BE243D" w:rsidRPr="000A7AB6">
        <w:rPr>
          <w:szCs w:val="22"/>
        </w:rPr>
        <w:t xml:space="preserve">properties </w:t>
      </w:r>
      <w:r w:rsidR="009248F9">
        <w:rPr>
          <w:szCs w:val="22"/>
        </w:rPr>
        <w:t xml:space="preserve">in the </w:t>
      </w:r>
      <w:r w:rsidR="0043190A">
        <w:rPr>
          <w:szCs w:val="22"/>
        </w:rPr>
        <w:t xml:space="preserve">wider </w:t>
      </w:r>
      <w:r w:rsidR="009248F9">
        <w:rPr>
          <w:szCs w:val="22"/>
        </w:rPr>
        <w:t>estate</w:t>
      </w:r>
      <w:r w:rsidR="00BE243D" w:rsidRPr="000A7AB6">
        <w:rPr>
          <w:szCs w:val="22"/>
        </w:rPr>
        <w:t xml:space="preserve"> that have </w:t>
      </w:r>
      <w:r w:rsidR="00B27D7A" w:rsidRPr="000A7AB6">
        <w:rPr>
          <w:szCs w:val="22"/>
        </w:rPr>
        <w:t>changed their front elevation material to pebble dash or painted render</w:t>
      </w:r>
      <w:r w:rsidR="009248F9">
        <w:rPr>
          <w:szCs w:val="22"/>
        </w:rPr>
        <w:t xml:space="preserve"> for the full front elevation. </w:t>
      </w:r>
      <w:r w:rsidRPr="000A7AB6">
        <w:rPr>
          <w:szCs w:val="22"/>
        </w:rPr>
        <w:t>There is no record of a Section 5 application for these</w:t>
      </w:r>
      <w:r w:rsidR="00246B33">
        <w:rPr>
          <w:szCs w:val="22"/>
        </w:rPr>
        <w:t xml:space="preserve">. </w:t>
      </w:r>
    </w:p>
    <w:p w14:paraId="04CBA6AC" w14:textId="77777777" w:rsidR="00491D3C" w:rsidRDefault="00491D3C" w:rsidP="00491D3C">
      <w:pPr>
        <w:rPr>
          <w:szCs w:val="22"/>
        </w:rPr>
      </w:pPr>
    </w:p>
    <w:p w14:paraId="7B84D540" w14:textId="758BD361" w:rsidR="00C53765" w:rsidRDefault="00C53765" w:rsidP="00491D3C">
      <w:pPr>
        <w:jc w:val="left"/>
      </w:pPr>
      <w:r>
        <w:t xml:space="preserve">The application is lacking in detail on the external finish and the depth of the external insultation.   Further information will be required </w:t>
      </w:r>
      <w:proofErr w:type="gramStart"/>
      <w:r>
        <w:t>in order to</w:t>
      </w:r>
      <w:proofErr w:type="gramEnd"/>
      <w:r>
        <w:t xml:space="preserve"> determine if the finish will render the appearance inconsistent with the character of the structure or of neighbouring structures. </w:t>
      </w:r>
    </w:p>
    <w:p w14:paraId="31F5E92B" w14:textId="77777777" w:rsidR="00C53765" w:rsidRDefault="00C53765" w:rsidP="00491D3C">
      <w:pPr>
        <w:jc w:val="left"/>
      </w:pPr>
    </w:p>
    <w:p w14:paraId="41FEE645" w14:textId="77777777" w:rsidR="00C53765" w:rsidRDefault="00C53765" w:rsidP="00491D3C">
      <w:pPr>
        <w:jc w:val="left"/>
      </w:pPr>
      <w:r w:rsidRPr="00F5726B">
        <w:rPr>
          <w:b/>
          <w:bCs/>
        </w:rPr>
        <w:t xml:space="preserve">Conclusion: </w:t>
      </w:r>
      <w:r>
        <w:t xml:space="preserve">There is insufficient information in the application to determine if the works is or is not exempted development. </w:t>
      </w:r>
    </w:p>
    <w:p w14:paraId="3077B5C3" w14:textId="77777777" w:rsidR="00C53765" w:rsidRPr="000A7AB6" w:rsidRDefault="00C53765" w:rsidP="00491D3C">
      <w:pPr>
        <w:rPr>
          <w:szCs w:val="22"/>
        </w:rPr>
      </w:pPr>
    </w:p>
    <w:p w14:paraId="0503A522" w14:textId="77777777" w:rsidR="0020458B" w:rsidRPr="000A7AB6" w:rsidRDefault="0020458B" w:rsidP="00491D3C">
      <w:pPr>
        <w:pStyle w:val="Heading2"/>
        <w:spacing w:before="0" w:after="0"/>
        <w:rPr>
          <w:rFonts w:ascii="Arial" w:hAnsi="Arial" w:cs="Arial"/>
          <w:b/>
          <w:bCs/>
          <w:sz w:val="22"/>
          <w:szCs w:val="22"/>
        </w:rPr>
      </w:pPr>
      <w:r w:rsidRPr="000A7AB6">
        <w:rPr>
          <w:rFonts w:ascii="Arial" w:hAnsi="Arial" w:cs="Arial"/>
          <w:b/>
          <w:bCs/>
          <w:sz w:val="22"/>
          <w:szCs w:val="22"/>
        </w:rPr>
        <w:t>Environmental Assessment</w:t>
      </w:r>
    </w:p>
    <w:p w14:paraId="77E2BBDA" w14:textId="77777777" w:rsidR="0020458B" w:rsidRPr="007A20C3" w:rsidRDefault="0020458B" w:rsidP="00491D3C">
      <w:pPr>
        <w:pStyle w:val="Heading3"/>
        <w:spacing w:before="0" w:after="0"/>
        <w:rPr>
          <w:rFonts w:cs="Arial"/>
          <w:b/>
          <w:bCs/>
          <w:sz w:val="22"/>
          <w:szCs w:val="22"/>
        </w:rPr>
      </w:pPr>
      <w:r w:rsidRPr="007A20C3">
        <w:rPr>
          <w:rFonts w:cs="Arial"/>
          <w:b/>
          <w:bCs/>
          <w:sz w:val="22"/>
          <w:szCs w:val="22"/>
        </w:rPr>
        <w:t>Screening for Environmental Impact Assessment</w:t>
      </w:r>
    </w:p>
    <w:p w14:paraId="504D845E" w14:textId="77777777" w:rsidR="0020458B" w:rsidRPr="000A7AB6" w:rsidRDefault="0020458B" w:rsidP="00491D3C">
      <w:pPr>
        <w:rPr>
          <w:szCs w:val="22"/>
        </w:rPr>
      </w:pPr>
      <w:r w:rsidRPr="000A7AB6">
        <w:rPr>
          <w:caps/>
          <w:szCs w:val="22"/>
        </w:rPr>
        <w:t>H</w:t>
      </w:r>
      <w:r w:rsidRPr="000A7AB6">
        <w:rPr>
          <w:szCs w:val="22"/>
        </w:rPr>
        <w:t>aving regard to the contents of Article 103 (as amended by Article 14 of the Planning and Development (Amendment) (No 3) Regulations 2011) and Schedule 7 of the Planning and Development Regulations 2001 (as amended) it is considered that the proposed development by reason of its nature, scale and location would not be likely to have significant effects on the environment. Accordingly, it is considered that an Environmental Impact Statement is not required to be submitted.</w:t>
      </w:r>
    </w:p>
    <w:p w14:paraId="48DBF2D3" w14:textId="77777777" w:rsidR="0020458B" w:rsidRPr="000A7AB6" w:rsidRDefault="0020458B" w:rsidP="00491D3C">
      <w:pPr>
        <w:rPr>
          <w:szCs w:val="22"/>
        </w:rPr>
      </w:pPr>
    </w:p>
    <w:p w14:paraId="38FF58FA" w14:textId="77777777" w:rsidR="0020458B" w:rsidRPr="00FE774E" w:rsidRDefault="0020458B" w:rsidP="00491D3C">
      <w:pPr>
        <w:pStyle w:val="Heading3"/>
        <w:spacing w:before="0" w:after="0"/>
        <w:rPr>
          <w:rFonts w:cs="Arial"/>
          <w:b/>
          <w:bCs/>
          <w:sz w:val="22"/>
          <w:szCs w:val="22"/>
        </w:rPr>
      </w:pPr>
      <w:r w:rsidRPr="00FE774E">
        <w:rPr>
          <w:rFonts w:cs="Arial"/>
          <w:b/>
          <w:bCs/>
          <w:sz w:val="22"/>
          <w:szCs w:val="22"/>
        </w:rPr>
        <w:t>Screening for Appropriate Assessment</w:t>
      </w:r>
    </w:p>
    <w:p w14:paraId="37053DDF" w14:textId="77777777" w:rsidR="0020458B" w:rsidRPr="000A7AB6" w:rsidRDefault="0020458B" w:rsidP="00491D3C">
      <w:pPr>
        <w:rPr>
          <w:szCs w:val="22"/>
        </w:rPr>
      </w:pPr>
      <w:r w:rsidRPr="000A7AB6">
        <w:rPr>
          <w:szCs w:val="22"/>
        </w:rPr>
        <w:t>Section 177U (9) of the Act requires planning authorities to screen applications for a section 5 declaration for appropriate assessment. The provisions of the Habitats Directive, the Appropriate Assessment Guidelines for Planning Authorities 2009 (revised 2010) and the Act are noted. The relevant European sites are the Cork Harbour SPA (site code 004030) and the Great Island Channel cSAC (site code 001058). Having regard to the location of the proposed development site relative to these European sites and related watercourses and to the nature and scale of the proposed development it is considered that the proposed development would not affect the integrity of the European sites referred to above. Accordingly, it is considered that an Appropriate Assessment is not required.</w:t>
      </w:r>
    </w:p>
    <w:p w14:paraId="70701FDE" w14:textId="77777777" w:rsidR="00A570C6" w:rsidRPr="000A7AB6" w:rsidRDefault="00A570C6" w:rsidP="00491D3C">
      <w:pPr>
        <w:rPr>
          <w:szCs w:val="22"/>
        </w:rPr>
      </w:pPr>
    </w:p>
    <w:p w14:paraId="6B1ACE4F" w14:textId="77777777" w:rsidR="0020458B" w:rsidRPr="000A7AB6" w:rsidRDefault="0020458B" w:rsidP="00491D3C">
      <w:pPr>
        <w:pStyle w:val="Heading2"/>
        <w:spacing w:before="0" w:after="0"/>
        <w:rPr>
          <w:rFonts w:ascii="Arial" w:hAnsi="Arial" w:cs="Arial"/>
          <w:b/>
          <w:bCs/>
          <w:sz w:val="22"/>
          <w:szCs w:val="22"/>
        </w:rPr>
      </w:pPr>
      <w:r w:rsidRPr="000A7AB6">
        <w:rPr>
          <w:rFonts w:ascii="Arial" w:hAnsi="Arial" w:cs="Arial"/>
          <w:b/>
          <w:bCs/>
          <w:sz w:val="22"/>
          <w:szCs w:val="22"/>
        </w:rPr>
        <w:t xml:space="preserve">Recommendation </w:t>
      </w:r>
    </w:p>
    <w:p w14:paraId="647F125C" w14:textId="19DD4E58" w:rsidR="0020458B" w:rsidRPr="000A7AB6" w:rsidRDefault="00246B33" w:rsidP="00491D3C">
      <w:pPr>
        <w:rPr>
          <w:szCs w:val="22"/>
        </w:rPr>
      </w:pPr>
      <w:r>
        <w:rPr>
          <w:szCs w:val="22"/>
        </w:rPr>
        <w:t xml:space="preserve">It is recommended that Further Information be sought to establish the </w:t>
      </w:r>
      <w:r w:rsidR="00504250">
        <w:rPr>
          <w:szCs w:val="22"/>
        </w:rPr>
        <w:t xml:space="preserve">exact areas of application, the </w:t>
      </w:r>
      <w:r>
        <w:rPr>
          <w:szCs w:val="22"/>
        </w:rPr>
        <w:t xml:space="preserve">exact </w:t>
      </w:r>
      <w:r w:rsidR="009D036E">
        <w:rPr>
          <w:szCs w:val="22"/>
        </w:rPr>
        <w:t>finish o</w:t>
      </w:r>
      <w:r w:rsidR="009A7897">
        <w:rPr>
          <w:szCs w:val="22"/>
        </w:rPr>
        <w:t>f</w:t>
      </w:r>
      <w:r w:rsidR="009D036E">
        <w:rPr>
          <w:szCs w:val="22"/>
        </w:rPr>
        <w:t xml:space="preserve"> the insulation – i.e. </w:t>
      </w:r>
      <w:r w:rsidR="00504250">
        <w:rPr>
          <w:szCs w:val="22"/>
        </w:rPr>
        <w:t xml:space="preserve">whether the insulation will be </w:t>
      </w:r>
      <w:r w:rsidR="009D036E">
        <w:rPr>
          <w:szCs w:val="22"/>
        </w:rPr>
        <w:t>smooth plaster or pebble dash finish</w:t>
      </w:r>
      <w:r w:rsidR="009A7897">
        <w:rPr>
          <w:szCs w:val="22"/>
        </w:rPr>
        <w:t>, and the depth of same.</w:t>
      </w:r>
    </w:p>
    <w:p w14:paraId="0E10B47F" w14:textId="77777777" w:rsidR="0020458B" w:rsidRDefault="0020458B" w:rsidP="00491D3C">
      <w:pPr>
        <w:rPr>
          <w:szCs w:val="22"/>
        </w:rPr>
      </w:pPr>
    </w:p>
    <w:p w14:paraId="0157CF95" w14:textId="77777777" w:rsidR="00FE774E" w:rsidRDefault="00FE774E" w:rsidP="00491D3C">
      <w:pPr>
        <w:rPr>
          <w:szCs w:val="22"/>
        </w:rPr>
      </w:pPr>
    </w:p>
    <w:p w14:paraId="380E99B5" w14:textId="5711428B" w:rsidR="001C4DC4" w:rsidRPr="001C4DC4" w:rsidRDefault="001C4DC4" w:rsidP="00491D3C">
      <w:pPr>
        <w:rPr>
          <w:b/>
          <w:bCs/>
          <w:szCs w:val="22"/>
        </w:rPr>
      </w:pPr>
      <w:r w:rsidRPr="001C4DC4">
        <w:rPr>
          <w:b/>
          <w:bCs/>
          <w:szCs w:val="22"/>
        </w:rPr>
        <w:t>REQUEST FOR FURTHER INFORMATION</w:t>
      </w:r>
    </w:p>
    <w:p w14:paraId="513CE7C0" w14:textId="77777777" w:rsidR="001C4DC4" w:rsidRDefault="001C4DC4" w:rsidP="00491D3C">
      <w:pPr>
        <w:jc w:val="left"/>
      </w:pPr>
      <w:r>
        <w:t xml:space="preserve">The Planning Authority requires further information </w:t>
      </w:r>
      <w:proofErr w:type="gramStart"/>
      <w:r>
        <w:t>in order to</w:t>
      </w:r>
      <w:proofErr w:type="gramEnd"/>
      <w:r>
        <w:t xml:space="preserve"> determine if the proposed external insulation is or is not exempted development. </w:t>
      </w:r>
    </w:p>
    <w:p w14:paraId="28939A40" w14:textId="77777777" w:rsidR="001C4DC4" w:rsidRDefault="001C4DC4" w:rsidP="00491D3C">
      <w:pPr>
        <w:jc w:val="left"/>
      </w:pPr>
    </w:p>
    <w:p w14:paraId="41915980" w14:textId="32B16C7F" w:rsidR="001C4DC4" w:rsidRDefault="001C4DC4" w:rsidP="00491D3C">
      <w:pPr>
        <w:pStyle w:val="ListParagraph"/>
        <w:numPr>
          <w:ilvl w:val="0"/>
          <w:numId w:val="1"/>
        </w:numPr>
        <w:jc w:val="left"/>
      </w:pPr>
      <w:r>
        <w:t>Please clarify whether the external insulation is to be applied to all parts of the external walls</w:t>
      </w:r>
      <w:r w:rsidR="003E1671">
        <w:t xml:space="preserve"> – </w:t>
      </w:r>
      <w:r w:rsidR="002E7563">
        <w:t>front</w:t>
      </w:r>
      <w:r w:rsidR="003E1671">
        <w:t xml:space="preserve"> side and rear</w:t>
      </w:r>
      <w:r w:rsidR="007A20C3">
        <w:t>.</w:t>
      </w:r>
      <w:r>
        <w:t xml:space="preserve"> </w:t>
      </w:r>
    </w:p>
    <w:p w14:paraId="00234B96" w14:textId="77777777" w:rsidR="001C4DC4" w:rsidRDefault="001C4DC4" w:rsidP="00491D3C">
      <w:pPr>
        <w:jc w:val="left"/>
      </w:pPr>
    </w:p>
    <w:p w14:paraId="4D3B0919" w14:textId="2DB7A64C" w:rsidR="001C4DC4" w:rsidRDefault="007A20C3" w:rsidP="00491D3C">
      <w:pPr>
        <w:pStyle w:val="ListParagraph"/>
        <w:numPr>
          <w:ilvl w:val="0"/>
          <w:numId w:val="1"/>
        </w:numPr>
        <w:jc w:val="left"/>
      </w:pPr>
      <w:r>
        <w:t>Please clarify the finish of th</w:t>
      </w:r>
      <w:r w:rsidR="00755E7F">
        <w:t>e</w:t>
      </w:r>
      <w:r w:rsidR="002E7563">
        <w:t xml:space="preserve"> proposed</w:t>
      </w:r>
      <w:r>
        <w:t xml:space="preserve"> insulation i.e. smooth render/rough dash or pebble dash including colours of same</w:t>
      </w:r>
      <w:r w:rsidR="00DA532A">
        <w:t xml:space="preserve"> – i.e. will it match the existing first floor finish?</w:t>
      </w:r>
      <w:r>
        <w:t xml:space="preserve"> </w:t>
      </w:r>
    </w:p>
    <w:p w14:paraId="7FCF973A" w14:textId="77777777" w:rsidR="007A20C3" w:rsidRDefault="007A20C3" w:rsidP="00491D3C">
      <w:pPr>
        <w:jc w:val="left"/>
      </w:pPr>
    </w:p>
    <w:p w14:paraId="6CD8D4A1" w14:textId="42357C6C" w:rsidR="001C4DC4" w:rsidRDefault="003E1671" w:rsidP="00491D3C">
      <w:pPr>
        <w:pStyle w:val="ListParagraph"/>
        <w:numPr>
          <w:ilvl w:val="0"/>
          <w:numId w:val="1"/>
        </w:numPr>
        <w:jc w:val="left"/>
      </w:pPr>
      <w:r>
        <w:lastRenderedPageBreak/>
        <w:t>Please s</w:t>
      </w:r>
      <w:r w:rsidR="001C4DC4">
        <w:t xml:space="preserve">ubmit details on the </w:t>
      </w:r>
      <w:r w:rsidR="00755E7F">
        <w:t xml:space="preserve">proposed </w:t>
      </w:r>
      <w:r w:rsidR="001C4DC4">
        <w:t xml:space="preserve">depth of the external insultation. </w:t>
      </w:r>
    </w:p>
    <w:p w14:paraId="31E93531" w14:textId="77777777" w:rsidR="0020458B" w:rsidRDefault="0020458B" w:rsidP="00491D3C">
      <w:pPr>
        <w:rPr>
          <w:szCs w:val="22"/>
        </w:rPr>
      </w:pPr>
    </w:p>
    <w:p w14:paraId="4AE1BDD8" w14:textId="77777777" w:rsidR="001C4DC4" w:rsidRPr="000A7AB6" w:rsidRDefault="001C4DC4" w:rsidP="00491D3C">
      <w:pPr>
        <w:rPr>
          <w:szCs w:val="22"/>
        </w:rPr>
      </w:pPr>
    </w:p>
    <w:p w14:paraId="588F68A7" w14:textId="69CD66B1" w:rsidR="0020458B" w:rsidRPr="000A7AB6" w:rsidRDefault="0020458B" w:rsidP="00491D3C">
      <w:pPr>
        <w:pStyle w:val="NoSpacing"/>
        <w:jc w:val="both"/>
        <w:rPr>
          <w:rFonts w:ascii="Arial" w:hAnsi="Arial" w:cs="Arial"/>
        </w:rPr>
      </w:pPr>
      <w:r w:rsidRPr="000A7AB6">
        <w:rPr>
          <w:rFonts w:ascii="Arial" w:hAnsi="Arial" w:cs="Arial"/>
        </w:rPr>
        <w:t>__________</w:t>
      </w:r>
      <w:r w:rsidR="009D036E">
        <w:rPr>
          <w:rFonts w:ascii="Arial" w:hAnsi="Arial" w:cs="Arial"/>
        </w:rPr>
        <w:t>_</w:t>
      </w:r>
    </w:p>
    <w:p w14:paraId="19D70C14" w14:textId="77777777" w:rsidR="009D036E" w:rsidRDefault="00B746E9" w:rsidP="00491D3C">
      <w:pPr>
        <w:rPr>
          <w:szCs w:val="22"/>
        </w:rPr>
      </w:pPr>
      <w:r w:rsidRPr="000A7AB6">
        <w:rPr>
          <w:szCs w:val="22"/>
        </w:rPr>
        <w:t>Sarah Carroll</w:t>
      </w:r>
    </w:p>
    <w:p w14:paraId="1071354F" w14:textId="34C2377A" w:rsidR="0020458B" w:rsidRPr="000A7AB6" w:rsidRDefault="00B746E9" w:rsidP="00491D3C">
      <w:pPr>
        <w:rPr>
          <w:szCs w:val="22"/>
        </w:rPr>
      </w:pPr>
      <w:r w:rsidRPr="000A7AB6">
        <w:rPr>
          <w:szCs w:val="22"/>
        </w:rPr>
        <w:t>Graduate Planner</w:t>
      </w:r>
    </w:p>
    <w:p w14:paraId="29A7DE18" w14:textId="569B66C4" w:rsidR="00B746E9" w:rsidRDefault="00B746E9" w:rsidP="00491D3C">
      <w:pPr>
        <w:rPr>
          <w:szCs w:val="22"/>
        </w:rPr>
      </w:pPr>
      <w:r w:rsidRPr="000A7AB6">
        <w:rPr>
          <w:szCs w:val="22"/>
        </w:rPr>
        <w:t>Cork City Council</w:t>
      </w:r>
    </w:p>
    <w:p w14:paraId="2A0CBC78" w14:textId="20A856D1" w:rsidR="009D036E" w:rsidRDefault="00A74DF4" w:rsidP="00491D3C">
      <w:pPr>
        <w:rPr>
          <w:szCs w:val="22"/>
        </w:rPr>
      </w:pPr>
      <w:r>
        <w:rPr>
          <w:szCs w:val="22"/>
        </w:rPr>
        <w:t>14.01.2026</w:t>
      </w:r>
    </w:p>
    <w:p w14:paraId="04C2586A" w14:textId="77777777" w:rsidR="00491D3C" w:rsidRDefault="00491D3C" w:rsidP="00491D3C">
      <w:pPr>
        <w:rPr>
          <w:szCs w:val="22"/>
        </w:rPr>
      </w:pPr>
    </w:p>
    <w:p w14:paraId="14867419" w14:textId="77777777" w:rsidR="00491D3C" w:rsidRDefault="00491D3C" w:rsidP="00491D3C">
      <w:pPr>
        <w:rPr>
          <w:szCs w:val="22"/>
        </w:rPr>
      </w:pPr>
    </w:p>
    <w:p w14:paraId="2FA9CB00" w14:textId="6F3502FD" w:rsidR="0079135F" w:rsidRDefault="0079135F" w:rsidP="00491D3C">
      <w:pPr>
        <w:rPr>
          <w:szCs w:val="22"/>
        </w:rPr>
      </w:pPr>
      <w:r>
        <w:rPr>
          <w:szCs w:val="22"/>
        </w:rPr>
        <w:t>_____________________________________________________________________</w:t>
      </w:r>
    </w:p>
    <w:p w14:paraId="33D21E01" w14:textId="2112B208" w:rsidR="009D036E" w:rsidRDefault="009D036E" w:rsidP="00491D3C">
      <w:pPr>
        <w:rPr>
          <w:szCs w:val="22"/>
        </w:rPr>
      </w:pPr>
      <w:r>
        <w:rPr>
          <w:szCs w:val="22"/>
        </w:rPr>
        <w:t>I concur with the above recommendation.</w:t>
      </w:r>
    </w:p>
    <w:p w14:paraId="1391A3B2" w14:textId="77777777" w:rsidR="009D036E" w:rsidRDefault="009D036E" w:rsidP="00491D3C">
      <w:pPr>
        <w:rPr>
          <w:szCs w:val="22"/>
        </w:rPr>
      </w:pPr>
    </w:p>
    <w:p w14:paraId="35FE649D" w14:textId="6C1E850A" w:rsidR="009D036E" w:rsidRDefault="0079135F" w:rsidP="00491D3C">
      <w:pPr>
        <w:rPr>
          <w:szCs w:val="22"/>
        </w:rPr>
      </w:pPr>
      <w:r>
        <w:rPr>
          <w:noProof/>
        </w:rPr>
        <w:drawing>
          <wp:inline distT="0" distB="0" distL="0" distR="0" wp14:anchorId="69E2BCC1" wp14:editId="6F6D2EDB">
            <wp:extent cx="926622" cy="230588"/>
            <wp:effectExtent l="0" t="0" r="6985" b="0"/>
            <wp:docPr id="760946268" name="Picture 1" descr="A close up of a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46268" name="Picture 1" descr="A close up of a black text&#10;&#10;Description automatically generated"/>
                    <pic:cNvPicPr/>
                  </pic:nvPicPr>
                  <pic:blipFill>
                    <a:blip r:embed="rId5"/>
                    <a:stretch>
                      <a:fillRect/>
                    </a:stretch>
                  </pic:blipFill>
                  <pic:spPr>
                    <a:xfrm>
                      <a:off x="0" y="0"/>
                      <a:ext cx="936660" cy="233086"/>
                    </a:xfrm>
                    <a:prstGeom prst="rect">
                      <a:avLst/>
                    </a:prstGeom>
                  </pic:spPr>
                </pic:pic>
              </a:graphicData>
            </a:graphic>
          </wp:inline>
        </w:drawing>
      </w:r>
    </w:p>
    <w:p w14:paraId="2E58457F" w14:textId="5F0C304F" w:rsidR="009D036E" w:rsidRDefault="009D036E" w:rsidP="00491D3C">
      <w:pPr>
        <w:rPr>
          <w:szCs w:val="22"/>
        </w:rPr>
      </w:pPr>
      <w:r>
        <w:rPr>
          <w:szCs w:val="22"/>
        </w:rPr>
        <w:t>____________</w:t>
      </w:r>
    </w:p>
    <w:p w14:paraId="546382CE" w14:textId="35D8FB32" w:rsidR="009D036E" w:rsidRPr="000A7AB6" w:rsidRDefault="009D036E" w:rsidP="00491D3C">
      <w:pPr>
        <w:rPr>
          <w:szCs w:val="22"/>
        </w:rPr>
      </w:pPr>
      <w:r>
        <w:rPr>
          <w:szCs w:val="22"/>
        </w:rPr>
        <w:t>Evelyn Mitchell</w:t>
      </w:r>
      <w:r w:rsidR="00755E7F">
        <w:rPr>
          <w:szCs w:val="22"/>
        </w:rPr>
        <w:t xml:space="preserve"> SEP</w:t>
      </w:r>
    </w:p>
    <w:sectPr w:rsidR="009D036E" w:rsidRPr="000A7AB6" w:rsidSect="0020458B">
      <w:pgSz w:w="11907" w:h="16840" w:code="9"/>
      <w:pgMar w:top="1276" w:right="992" w:bottom="1440" w:left="1418" w:header="720" w:footer="92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1CD"/>
    <w:multiLevelType w:val="hybridMultilevel"/>
    <w:tmpl w:val="EADA5F1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D037C4B"/>
    <w:multiLevelType w:val="multilevel"/>
    <w:tmpl w:val="2CC4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912763">
    <w:abstractNumId w:val="0"/>
  </w:num>
  <w:num w:numId="2" w16cid:durableId="1803691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B"/>
    <w:rsid w:val="0001110A"/>
    <w:rsid w:val="000354F2"/>
    <w:rsid w:val="00046465"/>
    <w:rsid w:val="00085256"/>
    <w:rsid w:val="000A4EB1"/>
    <w:rsid w:val="000A7AB6"/>
    <w:rsid w:val="000F259C"/>
    <w:rsid w:val="000F57FD"/>
    <w:rsid w:val="00164716"/>
    <w:rsid w:val="001C4DC4"/>
    <w:rsid w:val="0020458B"/>
    <w:rsid w:val="00233FE6"/>
    <w:rsid w:val="00244376"/>
    <w:rsid w:val="00246B33"/>
    <w:rsid w:val="00251D2B"/>
    <w:rsid w:val="00265C5A"/>
    <w:rsid w:val="002763E7"/>
    <w:rsid w:val="002A6699"/>
    <w:rsid w:val="002E7563"/>
    <w:rsid w:val="003048EB"/>
    <w:rsid w:val="00346772"/>
    <w:rsid w:val="00376794"/>
    <w:rsid w:val="003D3BDF"/>
    <w:rsid w:val="003E1671"/>
    <w:rsid w:val="003E5440"/>
    <w:rsid w:val="003E72B3"/>
    <w:rsid w:val="00427CE0"/>
    <w:rsid w:val="0043190A"/>
    <w:rsid w:val="004545BA"/>
    <w:rsid w:val="00474D42"/>
    <w:rsid w:val="00491D3C"/>
    <w:rsid w:val="004D3215"/>
    <w:rsid w:val="00504250"/>
    <w:rsid w:val="00572A7E"/>
    <w:rsid w:val="005C50AE"/>
    <w:rsid w:val="005D1A3B"/>
    <w:rsid w:val="006348C2"/>
    <w:rsid w:val="00680D80"/>
    <w:rsid w:val="006A7F70"/>
    <w:rsid w:val="00755E7F"/>
    <w:rsid w:val="0079135F"/>
    <w:rsid w:val="007A20C3"/>
    <w:rsid w:val="007F14E8"/>
    <w:rsid w:val="00835B7E"/>
    <w:rsid w:val="008410AD"/>
    <w:rsid w:val="00850535"/>
    <w:rsid w:val="00855EE1"/>
    <w:rsid w:val="0088451F"/>
    <w:rsid w:val="0089508F"/>
    <w:rsid w:val="008E679B"/>
    <w:rsid w:val="009248F9"/>
    <w:rsid w:val="00965F53"/>
    <w:rsid w:val="009A7897"/>
    <w:rsid w:val="009D036E"/>
    <w:rsid w:val="009D6D47"/>
    <w:rsid w:val="00A17177"/>
    <w:rsid w:val="00A5021C"/>
    <w:rsid w:val="00A5133F"/>
    <w:rsid w:val="00A553B4"/>
    <w:rsid w:val="00A570C6"/>
    <w:rsid w:val="00A62246"/>
    <w:rsid w:val="00A74DF4"/>
    <w:rsid w:val="00AA62EC"/>
    <w:rsid w:val="00AC4F6B"/>
    <w:rsid w:val="00AD6672"/>
    <w:rsid w:val="00B27D7A"/>
    <w:rsid w:val="00B345A4"/>
    <w:rsid w:val="00B746E9"/>
    <w:rsid w:val="00B807C7"/>
    <w:rsid w:val="00BB5FC2"/>
    <w:rsid w:val="00BC12C0"/>
    <w:rsid w:val="00BE243D"/>
    <w:rsid w:val="00C12431"/>
    <w:rsid w:val="00C37B94"/>
    <w:rsid w:val="00C53765"/>
    <w:rsid w:val="00C60EB7"/>
    <w:rsid w:val="00C909C7"/>
    <w:rsid w:val="00CB1FEB"/>
    <w:rsid w:val="00D23042"/>
    <w:rsid w:val="00DA532A"/>
    <w:rsid w:val="00DC543A"/>
    <w:rsid w:val="00DD2ACC"/>
    <w:rsid w:val="00DD73BF"/>
    <w:rsid w:val="00DF1AD9"/>
    <w:rsid w:val="00E16EB3"/>
    <w:rsid w:val="00EA5492"/>
    <w:rsid w:val="00F052DF"/>
    <w:rsid w:val="00F17F11"/>
    <w:rsid w:val="00F64837"/>
    <w:rsid w:val="00F76EAA"/>
    <w:rsid w:val="00FE77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1DE9"/>
  <w15:chartTrackingRefBased/>
  <w15:docId w15:val="{8236D9E0-1022-49A7-BD43-9CEFA6AA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58B"/>
    <w:pPr>
      <w:spacing w:after="0" w:line="240" w:lineRule="auto"/>
      <w:jc w:val="both"/>
    </w:pPr>
    <w:rPr>
      <w:rFonts w:ascii="Arial" w:eastAsia="Times New Roman" w:hAnsi="Arial" w:cs="Arial"/>
      <w:kern w:val="0"/>
      <w:sz w:val="22"/>
    </w:rPr>
  </w:style>
  <w:style w:type="paragraph" w:styleId="Heading1">
    <w:name w:val="heading 1"/>
    <w:basedOn w:val="Normal"/>
    <w:next w:val="Normal"/>
    <w:link w:val="Heading1Char"/>
    <w:uiPriority w:val="9"/>
    <w:qFormat/>
    <w:rsid w:val="00204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4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4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5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5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5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5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4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4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58B"/>
    <w:rPr>
      <w:rFonts w:eastAsiaTheme="majorEastAsia" w:cstheme="majorBidi"/>
      <w:color w:val="272727" w:themeColor="text1" w:themeTint="D8"/>
    </w:rPr>
  </w:style>
  <w:style w:type="paragraph" w:styleId="Title">
    <w:name w:val="Title"/>
    <w:basedOn w:val="Normal"/>
    <w:next w:val="Normal"/>
    <w:link w:val="TitleChar"/>
    <w:uiPriority w:val="10"/>
    <w:qFormat/>
    <w:rsid w:val="002045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58B"/>
    <w:pPr>
      <w:spacing w:before="160"/>
      <w:jc w:val="center"/>
    </w:pPr>
    <w:rPr>
      <w:i/>
      <w:iCs/>
      <w:color w:val="404040" w:themeColor="text1" w:themeTint="BF"/>
    </w:rPr>
  </w:style>
  <w:style w:type="character" w:customStyle="1" w:styleId="QuoteChar">
    <w:name w:val="Quote Char"/>
    <w:basedOn w:val="DefaultParagraphFont"/>
    <w:link w:val="Quote"/>
    <w:uiPriority w:val="29"/>
    <w:rsid w:val="0020458B"/>
    <w:rPr>
      <w:i/>
      <w:iCs/>
      <w:color w:val="404040" w:themeColor="text1" w:themeTint="BF"/>
    </w:rPr>
  </w:style>
  <w:style w:type="paragraph" w:styleId="ListParagraph">
    <w:name w:val="List Paragraph"/>
    <w:basedOn w:val="Normal"/>
    <w:uiPriority w:val="34"/>
    <w:qFormat/>
    <w:rsid w:val="0020458B"/>
    <w:pPr>
      <w:ind w:left="720"/>
      <w:contextualSpacing/>
    </w:pPr>
  </w:style>
  <w:style w:type="character" w:styleId="IntenseEmphasis">
    <w:name w:val="Intense Emphasis"/>
    <w:basedOn w:val="DefaultParagraphFont"/>
    <w:uiPriority w:val="21"/>
    <w:qFormat/>
    <w:rsid w:val="0020458B"/>
    <w:rPr>
      <w:i/>
      <w:iCs/>
      <w:color w:val="0F4761" w:themeColor="accent1" w:themeShade="BF"/>
    </w:rPr>
  </w:style>
  <w:style w:type="paragraph" w:styleId="IntenseQuote">
    <w:name w:val="Intense Quote"/>
    <w:basedOn w:val="Normal"/>
    <w:next w:val="Normal"/>
    <w:link w:val="IntenseQuoteChar"/>
    <w:uiPriority w:val="30"/>
    <w:qFormat/>
    <w:rsid w:val="00204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58B"/>
    <w:rPr>
      <w:i/>
      <w:iCs/>
      <w:color w:val="0F4761" w:themeColor="accent1" w:themeShade="BF"/>
    </w:rPr>
  </w:style>
  <w:style w:type="character" w:styleId="IntenseReference">
    <w:name w:val="Intense Reference"/>
    <w:basedOn w:val="DefaultParagraphFont"/>
    <w:uiPriority w:val="32"/>
    <w:qFormat/>
    <w:rsid w:val="0020458B"/>
    <w:rPr>
      <w:b/>
      <w:bCs/>
      <w:smallCaps/>
      <w:color w:val="0F4761" w:themeColor="accent1" w:themeShade="BF"/>
      <w:spacing w:val="5"/>
    </w:rPr>
  </w:style>
  <w:style w:type="table" w:styleId="TableGrid">
    <w:name w:val="Table Grid"/>
    <w:basedOn w:val="TableNormal"/>
    <w:rsid w:val="0020458B"/>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0458B"/>
    <w:rPr>
      <w:rFonts w:ascii="Segoe UI" w:hAnsi="Segoe UI" w:cs="Segoe UI" w:hint="default"/>
      <w:sz w:val="18"/>
      <w:szCs w:val="18"/>
    </w:rPr>
  </w:style>
  <w:style w:type="paragraph" w:styleId="NoSpacing">
    <w:name w:val="No Spacing"/>
    <w:uiPriority w:val="1"/>
    <w:qFormat/>
    <w:rsid w:val="0020458B"/>
    <w:pPr>
      <w:spacing w:after="0" w:line="240" w:lineRule="auto"/>
    </w:pPr>
    <w:rPr>
      <w:sz w:val="22"/>
      <w:szCs w:val="22"/>
    </w:rPr>
  </w:style>
  <w:style w:type="paragraph" w:styleId="Revision">
    <w:name w:val="Revision"/>
    <w:hidden/>
    <w:uiPriority w:val="99"/>
    <w:semiHidden/>
    <w:rsid w:val="00244376"/>
    <w:pPr>
      <w:spacing w:after="0" w:line="240" w:lineRule="auto"/>
    </w:pPr>
    <w:rPr>
      <w:rFonts w:ascii="Arial" w:eastAsia="Times New Roman" w:hAnsi="Arial" w:cs="Arial"/>
      <w:kern w:val="0"/>
      <w:sz w:val="22"/>
    </w:rPr>
  </w:style>
  <w:style w:type="character" w:styleId="CommentReference">
    <w:name w:val="annotation reference"/>
    <w:basedOn w:val="DefaultParagraphFont"/>
    <w:uiPriority w:val="99"/>
    <w:semiHidden/>
    <w:unhideWhenUsed/>
    <w:rsid w:val="00244376"/>
    <w:rPr>
      <w:sz w:val="16"/>
      <w:szCs w:val="16"/>
    </w:rPr>
  </w:style>
  <w:style w:type="paragraph" w:styleId="CommentText">
    <w:name w:val="annotation text"/>
    <w:basedOn w:val="Normal"/>
    <w:link w:val="CommentTextChar"/>
    <w:uiPriority w:val="99"/>
    <w:unhideWhenUsed/>
    <w:rsid w:val="00244376"/>
    <w:rPr>
      <w:sz w:val="20"/>
      <w:szCs w:val="20"/>
    </w:rPr>
  </w:style>
  <w:style w:type="character" w:customStyle="1" w:styleId="CommentTextChar">
    <w:name w:val="Comment Text Char"/>
    <w:basedOn w:val="DefaultParagraphFont"/>
    <w:link w:val="CommentText"/>
    <w:uiPriority w:val="99"/>
    <w:rsid w:val="00244376"/>
    <w:rPr>
      <w:rFonts w:ascii="Arial" w:eastAsia="Times New Roman" w:hAnsi="Arial" w:cs="Arial"/>
      <w:kern w:val="0"/>
      <w:sz w:val="20"/>
      <w:szCs w:val="20"/>
    </w:rPr>
  </w:style>
  <w:style w:type="paragraph" w:styleId="CommentSubject">
    <w:name w:val="annotation subject"/>
    <w:basedOn w:val="CommentText"/>
    <w:next w:val="CommentText"/>
    <w:link w:val="CommentSubjectChar"/>
    <w:uiPriority w:val="99"/>
    <w:semiHidden/>
    <w:unhideWhenUsed/>
    <w:rsid w:val="00244376"/>
    <w:rPr>
      <w:b/>
      <w:bCs/>
    </w:rPr>
  </w:style>
  <w:style w:type="character" w:customStyle="1" w:styleId="CommentSubjectChar">
    <w:name w:val="Comment Subject Char"/>
    <w:basedOn w:val="CommentTextChar"/>
    <w:link w:val="CommentSubject"/>
    <w:uiPriority w:val="99"/>
    <w:semiHidden/>
    <w:rsid w:val="00244376"/>
    <w:rPr>
      <w:rFonts w:ascii="Arial" w:eastAsia="Times New Roman" w:hAnsi="Arial" w:cs="Arial"/>
      <w:b/>
      <w:bCs/>
      <w:kern w:val="0"/>
      <w:sz w:val="20"/>
      <w:szCs w:val="20"/>
    </w:rPr>
  </w:style>
  <w:style w:type="paragraph" w:customStyle="1" w:styleId="xmsolistparagraph">
    <w:name w:val="x_msolistparagraph"/>
    <w:basedOn w:val="Normal"/>
    <w:rsid w:val="004D3215"/>
    <w:pPr>
      <w:spacing w:before="100" w:beforeAutospacing="1" w:after="100" w:afterAutospacing="1"/>
      <w:jc w:val="left"/>
    </w:pPr>
    <w:rPr>
      <w:rFonts w:ascii="Times New Roman" w:hAnsi="Times New Roman" w:cs="Times New Roman"/>
      <w:sz w:val="24"/>
      <w:lang w:eastAsia="en-IE"/>
      <w14:ligatures w14:val="none"/>
    </w:rPr>
  </w:style>
  <w:style w:type="paragraph" w:customStyle="1" w:styleId="xmsonormal">
    <w:name w:val="x_msonormal"/>
    <w:basedOn w:val="Normal"/>
    <w:rsid w:val="004D3215"/>
    <w:pPr>
      <w:spacing w:before="100" w:beforeAutospacing="1" w:after="100" w:afterAutospacing="1"/>
      <w:jc w:val="left"/>
    </w:pPr>
    <w:rPr>
      <w:rFonts w:ascii="Times New Roman" w:hAnsi="Times New Roman" w:cs="Times New Roman"/>
      <w:sz w:val="24"/>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1859</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Carroll</dc:creator>
  <cp:keywords/>
  <dc:description/>
  <cp:lastModifiedBy>Evelyn Mitchell</cp:lastModifiedBy>
  <cp:revision>37</cp:revision>
  <dcterms:created xsi:type="dcterms:W3CDTF">2026-01-12T14:15:00Z</dcterms:created>
  <dcterms:modified xsi:type="dcterms:W3CDTF">2026-01-15T14:22:00Z</dcterms:modified>
</cp:coreProperties>
</file>